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E1" w:rsidRDefault="00664AE1"/>
    <w:p w:rsidR="00664AE1" w:rsidRPr="00290D39" w:rsidRDefault="00AB01FA" w:rsidP="00664AE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r w:rsidRPr="00290D39">
        <w:rPr>
          <w:rFonts w:ascii="Verdana" w:hAnsi="Verdana"/>
          <w:b/>
          <w:sz w:val="28"/>
          <w:szCs w:val="28"/>
        </w:rPr>
        <w:t>La sauvegarde de justice avec mandat spécial</w:t>
      </w:r>
    </w:p>
    <w:p w:rsidR="00290D39" w:rsidRDefault="00290D39" w:rsidP="00AB01FA">
      <w:pPr>
        <w:jc w:val="both"/>
        <w:rPr>
          <w:rFonts w:ascii="Verdana" w:hAnsi="Verdana" w:cs="Arial"/>
          <w:noProof/>
          <w:color w:val="333399"/>
          <w:sz w:val="18"/>
          <w:szCs w:val="18"/>
          <w:u w:val="single"/>
        </w:rPr>
      </w:pPr>
    </w:p>
    <w:p w:rsidR="006D7916" w:rsidRDefault="006D7916" w:rsidP="00331EE7">
      <w:pPr>
        <w:ind w:left="567" w:right="543"/>
        <w:jc w:val="both"/>
        <w:rPr>
          <w:rFonts w:ascii="Verdana" w:hAnsi="Verdana" w:cs="Arial"/>
          <w:noProof/>
          <w:color w:val="333399"/>
          <w:sz w:val="18"/>
          <w:szCs w:val="18"/>
          <w:u w:val="single"/>
        </w:rPr>
      </w:pPr>
    </w:p>
    <w:p w:rsidR="00664AE1" w:rsidRDefault="00AB01FA" w:rsidP="00331EE7">
      <w:pPr>
        <w:ind w:left="567" w:right="543"/>
        <w:jc w:val="both"/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</w:pPr>
      <w:r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>Le point de départ de l’i</w:t>
      </w:r>
      <w:r w:rsidR="00494B30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>ntervention du mandat spécial</w:t>
      </w:r>
    </w:p>
    <w:p w:rsidR="006D7916" w:rsidRPr="00290D39" w:rsidRDefault="006D7916" w:rsidP="00331EE7">
      <w:pPr>
        <w:ind w:left="567" w:right="543"/>
        <w:jc w:val="both"/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</w:pPr>
    </w:p>
    <w:p w:rsidR="00AB01FA" w:rsidRPr="00290D39" w:rsidRDefault="001D6402" w:rsidP="00331EE7">
      <w:pPr>
        <w:spacing w:after="200" w:line="276" w:lineRule="auto"/>
        <w:ind w:left="567" w:right="543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Votre</w:t>
      </w:r>
      <w:r w:rsidR="00AB01FA" w:rsidRPr="00290D39">
        <w:rPr>
          <w:rFonts w:ascii="Verdana" w:eastAsia="Calibri" w:hAnsi="Verdana" w:cs="Tahoma"/>
          <w:sz w:val="18"/>
          <w:szCs w:val="18"/>
        </w:rPr>
        <w:t xml:space="preserve"> intervention commence dè</w:t>
      </w:r>
      <w:r w:rsidR="00607BDA" w:rsidRPr="00290D39">
        <w:rPr>
          <w:rFonts w:ascii="Verdana" w:eastAsia="Calibri" w:hAnsi="Verdana" w:cs="Tahoma"/>
          <w:sz w:val="18"/>
          <w:szCs w:val="18"/>
        </w:rPr>
        <w:t>s la réception de la décision de justice.</w:t>
      </w:r>
    </w:p>
    <w:p w:rsidR="00AB01FA" w:rsidRPr="00290D39" w:rsidRDefault="001D6402" w:rsidP="00331EE7">
      <w:pPr>
        <w:spacing w:after="200" w:line="276" w:lineRule="auto"/>
        <w:ind w:left="567" w:right="543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Vous devez</w:t>
      </w:r>
      <w:r w:rsidR="00AB01FA" w:rsidRPr="00290D39">
        <w:rPr>
          <w:rFonts w:ascii="Verdana" w:eastAsia="Calibri" w:hAnsi="Verdana" w:cs="Tahoma"/>
          <w:sz w:val="18"/>
          <w:szCs w:val="18"/>
        </w:rPr>
        <w:t xml:space="preserve"> mettre en place la mesure, et ce, même si un re</w:t>
      </w:r>
      <w:r>
        <w:rPr>
          <w:rFonts w:ascii="Verdana" w:eastAsia="Calibri" w:hAnsi="Verdana" w:cs="Tahoma"/>
          <w:sz w:val="18"/>
          <w:szCs w:val="18"/>
        </w:rPr>
        <w:t>cours a été exercé par la personne protégée</w:t>
      </w:r>
      <w:r w:rsidR="00AB01FA" w:rsidRPr="00290D39">
        <w:rPr>
          <w:rFonts w:ascii="Verdana" w:eastAsia="Calibri" w:hAnsi="Verdana" w:cs="Tahoma"/>
          <w:sz w:val="18"/>
          <w:szCs w:val="18"/>
        </w:rPr>
        <w:t xml:space="preserve"> ou un proche. </w:t>
      </w:r>
    </w:p>
    <w:p w:rsidR="00AB01FA" w:rsidRPr="00290D39" w:rsidRDefault="001D6402" w:rsidP="00331EE7">
      <w:pPr>
        <w:spacing w:after="200" w:line="276" w:lineRule="auto"/>
        <w:ind w:left="567" w:right="543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Vous devez</w:t>
      </w:r>
      <w:r w:rsidR="00AB01FA" w:rsidRPr="00290D39">
        <w:rPr>
          <w:rFonts w:ascii="Verdana" w:eastAsia="Calibri" w:hAnsi="Verdana" w:cs="Tahoma"/>
          <w:sz w:val="18"/>
          <w:szCs w:val="18"/>
        </w:rPr>
        <w:t xml:space="preserve"> mettre en place les mesures urgentes commandées par le Juge. </w:t>
      </w:r>
    </w:p>
    <w:p w:rsidR="00AB01FA" w:rsidRPr="00290D39" w:rsidRDefault="00AB01FA" w:rsidP="00331EE7">
      <w:pPr>
        <w:spacing w:after="200" w:line="276" w:lineRule="auto"/>
        <w:ind w:left="567" w:right="543"/>
        <w:jc w:val="both"/>
        <w:rPr>
          <w:rFonts w:ascii="Verdana" w:eastAsia="Calibri" w:hAnsi="Verdana" w:cs="Tahoma"/>
          <w:sz w:val="18"/>
          <w:szCs w:val="18"/>
        </w:rPr>
      </w:pPr>
    </w:p>
    <w:p w:rsidR="00AB01FA" w:rsidRPr="00290D39" w:rsidRDefault="00AB01FA" w:rsidP="00331EE7">
      <w:pPr>
        <w:spacing w:before="100" w:beforeAutospacing="1" w:after="240" w:line="264" w:lineRule="auto"/>
        <w:ind w:left="567" w:right="543"/>
        <w:rPr>
          <w:rFonts w:ascii="Verdana" w:eastAsia="FZYaoTi" w:hAnsi="Verdana" w:cs="Tahoma"/>
          <w:b/>
          <w:color w:val="0070C0"/>
          <w:sz w:val="18"/>
          <w:szCs w:val="18"/>
        </w:rPr>
      </w:pPr>
      <w:r w:rsidRPr="00290D39">
        <w:rPr>
          <w:rFonts w:ascii="Verdana" w:eastAsia="FZYaoTi" w:hAnsi="Verdana" w:cs="Tahoma"/>
          <w:b/>
          <w:color w:val="0070C0"/>
          <w:sz w:val="18"/>
          <w:szCs w:val="18"/>
        </w:rPr>
        <w:t xml:space="preserve">Les objectifs </w:t>
      </w:r>
    </w:p>
    <w:p w:rsidR="00AB01FA" w:rsidRPr="00290D39" w:rsidRDefault="00AB01FA" w:rsidP="00331EE7">
      <w:pPr>
        <w:spacing w:after="200" w:line="276" w:lineRule="auto"/>
        <w:ind w:left="567" w:right="543"/>
        <w:jc w:val="both"/>
        <w:rPr>
          <w:rFonts w:ascii="Verdana" w:eastAsia="Calibri" w:hAnsi="Verdana" w:cs="Tahoma"/>
          <w:sz w:val="18"/>
          <w:szCs w:val="18"/>
        </w:rPr>
      </w:pPr>
      <w:r w:rsidRPr="00290D39">
        <w:rPr>
          <w:rFonts w:ascii="Verdana" w:eastAsia="Calibri" w:hAnsi="Verdana" w:cs="Tahoma"/>
          <w:sz w:val="18"/>
          <w:szCs w:val="18"/>
        </w:rPr>
        <w:t xml:space="preserve">Les objectifs du Mandat spécial sont précisés dans </w:t>
      </w:r>
      <w:r w:rsidR="0098677C" w:rsidRPr="00290D39">
        <w:rPr>
          <w:rFonts w:ascii="Verdana" w:eastAsia="Calibri" w:hAnsi="Verdana" w:cs="Tahoma"/>
          <w:sz w:val="18"/>
          <w:szCs w:val="18"/>
        </w:rPr>
        <w:t>la décision de justice</w:t>
      </w:r>
      <w:r w:rsidRPr="00290D39">
        <w:rPr>
          <w:rFonts w:ascii="Verdana" w:eastAsia="Calibri" w:hAnsi="Verdana" w:cs="Tahoma"/>
          <w:sz w:val="18"/>
          <w:szCs w:val="18"/>
        </w:rPr>
        <w:t xml:space="preserve">. En dehors des actes </w:t>
      </w:r>
      <w:r w:rsidR="00607BDA" w:rsidRPr="00290D39">
        <w:rPr>
          <w:rFonts w:ascii="Verdana" w:eastAsia="Calibri" w:hAnsi="Verdana" w:cs="Tahoma"/>
          <w:sz w:val="18"/>
          <w:szCs w:val="18"/>
        </w:rPr>
        <w:t xml:space="preserve">strictement </w:t>
      </w:r>
      <w:r w:rsidRPr="00290D39">
        <w:rPr>
          <w:rFonts w:ascii="Verdana" w:eastAsia="Calibri" w:hAnsi="Verdana" w:cs="Tahoma"/>
          <w:sz w:val="18"/>
          <w:szCs w:val="18"/>
        </w:rPr>
        <w:t xml:space="preserve">listés, </w:t>
      </w:r>
      <w:r w:rsidR="001D6402">
        <w:rPr>
          <w:rFonts w:ascii="Verdana" w:eastAsia="Calibri" w:hAnsi="Verdana" w:cs="Tahoma"/>
          <w:sz w:val="18"/>
          <w:szCs w:val="18"/>
        </w:rPr>
        <w:t>la personne protégée exerce seul l’ensemble de ses</w:t>
      </w:r>
      <w:r w:rsidRPr="00290D39">
        <w:rPr>
          <w:rFonts w:ascii="Verdana" w:eastAsia="Calibri" w:hAnsi="Verdana" w:cs="Tahoma"/>
          <w:sz w:val="18"/>
          <w:szCs w:val="18"/>
        </w:rPr>
        <w:t xml:space="preserve"> droits.</w:t>
      </w:r>
    </w:p>
    <w:p w:rsidR="00AB01FA" w:rsidRPr="00290D39" w:rsidRDefault="001D6402" w:rsidP="00331EE7">
      <w:pPr>
        <w:spacing w:after="200" w:line="276" w:lineRule="auto"/>
        <w:ind w:left="567" w:right="543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Dans la mesure où son état de santé le permet, vous devez rechercher la volonté</w:t>
      </w:r>
      <w:r w:rsidRPr="00290D39">
        <w:rPr>
          <w:rFonts w:ascii="Verdana" w:eastAsia="Calibri" w:hAnsi="Verdana" w:cs="Tahoma"/>
          <w:sz w:val="18"/>
          <w:szCs w:val="18"/>
        </w:rPr>
        <w:t xml:space="preserve"> </w:t>
      </w:r>
      <w:r>
        <w:rPr>
          <w:rFonts w:ascii="Verdana" w:eastAsia="Calibri" w:hAnsi="Verdana" w:cs="Tahoma"/>
          <w:sz w:val="18"/>
          <w:szCs w:val="18"/>
        </w:rPr>
        <w:t xml:space="preserve">de la personne protégée et </w:t>
      </w:r>
      <w:r w:rsidR="00494B30">
        <w:rPr>
          <w:rFonts w:ascii="Verdana" w:eastAsia="Calibri" w:hAnsi="Verdana" w:cs="Tahoma"/>
          <w:sz w:val="18"/>
          <w:szCs w:val="18"/>
        </w:rPr>
        <w:t>l’</w:t>
      </w:r>
      <w:r w:rsidR="00494B30" w:rsidRPr="00290D39">
        <w:rPr>
          <w:rFonts w:ascii="Verdana" w:eastAsia="Calibri" w:hAnsi="Verdana" w:cs="Tahoma"/>
          <w:sz w:val="18"/>
          <w:szCs w:val="18"/>
        </w:rPr>
        <w:t>informer</w:t>
      </w:r>
      <w:r w:rsidR="00AB01FA" w:rsidRPr="00290D39">
        <w:rPr>
          <w:rFonts w:ascii="Verdana" w:eastAsia="Calibri" w:hAnsi="Verdana" w:cs="Tahoma"/>
          <w:sz w:val="18"/>
          <w:szCs w:val="18"/>
        </w:rPr>
        <w:t xml:space="preserve"> des actes réalisés et des décisions prises.</w:t>
      </w:r>
    </w:p>
    <w:p w:rsidR="000D10C0" w:rsidRPr="00290D39" w:rsidRDefault="00AB01FA" w:rsidP="00331EE7">
      <w:pPr>
        <w:spacing w:after="200" w:line="276" w:lineRule="auto"/>
        <w:ind w:left="567" w:right="543"/>
        <w:jc w:val="both"/>
        <w:rPr>
          <w:rFonts w:ascii="Verdana" w:eastAsia="Calibri" w:hAnsi="Verdana" w:cs="Tahoma"/>
          <w:sz w:val="18"/>
          <w:szCs w:val="18"/>
        </w:rPr>
      </w:pPr>
      <w:r w:rsidRPr="00290D39">
        <w:rPr>
          <w:rFonts w:ascii="Verdana" w:eastAsia="Calibri" w:hAnsi="Verdana" w:cs="Tahoma"/>
          <w:sz w:val="18"/>
          <w:szCs w:val="18"/>
        </w:rPr>
        <w:t>Si des actes non prévus dans le Mandat spécial sont nécessaires</w:t>
      </w:r>
      <w:r w:rsidR="001D6402">
        <w:rPr>
          <w:rFonts w:ascii="Verdana" w:eastAsia="Calibri" w:hAnsi="Verdana" w:cs="Tahoma"/>
          <w:sz w:val="18"/>
          <w:szCs w:val="18"/>
        </w:rPr>
        <w:t xml:space="preserve"> à son</w:t>
      </w:r>
      <w:r w:rsidR="00607BDA" w:rsidRPr="00290D39">
        <w:rPr>
          <w:rFonts w:ascii="Verdana" w:eastAsia="Calibri" w:hAnsi="Verdana" w:cs="Tahoma"/>
          <w:sz w:val="18"/>
          <w:szCs w:val="18"/>
        </w:rPr>
        <w:t xml:space="preserve"> intérêt</w:t>
      </w:r>
      <w:r w:rsidR="001D6402">
        <w:rPr>
          <w:rFonts w:ascii="Verdana" w:eastAsia="Calibri" w:hAnsi="Verdana" w:cs="Tahoma"/>
          <w:sz w:val="18"/>
          <w:szCs w:val="18"/>
        </w:rPr>
        <w:t>, vous pouvez</w:t>
      </w:r>
      <w:r w:rsidRPr="00290D39">
        <w:rPr>
          <w:rFonts w:ascii="Verdana" w:eastAsia="Calibri" w:hAnsi="Verdana" w:cs="Tahoma"/>
          <w:sz w:val="18"/>
          <w:szCs w:val="18"/>
        </w:rPr>
        <w:t xml:space="preserve"> solliciter l’autorisation du Juge pour les réaliser.</w:t>
      </w:r>
    </w:p>
    <w:p w:rsidR="00AB01FA" w:rsidRPr="00290D39" w:rsidRDefault="0098677C" w:rsidP="00331EE7">
      <w:pPr>
        <w:spacing w:after="200" w:line="276" w:lineRule="auto"/>
        <w:ind w:left="567" w:right="543"/>
        <w:jc w:val="both"/>
        <w:rPr>
          <w:rFonts w:ascii="Verdana" w:eastAsia="Calibri" w:hAnsi="Verdana" w:cs="Tahoma"/>
          <w:sz w:val="18"/>
          <w:szCs w:val="18"/>
        </w:rPr>
      </w:pPr>
      <w:r w:rsidRPr="00290D39">
        <w:rPr>
          <w:rFonts w:ascii="Verdana" w:eastAsia="Calibri" w:hAnsi="Verdana" w:cs="Tahoma"/>
          <w:noProof/>
          <w:sz w:val="18"/>
          <w:szCs w:val="18"/>
          <w:lang w:eastAsia="fr-FR"/>
        </w:rPr>
        <w:drawing>
          <wp:anchor distT="0" distB="0" distL="114300" distR="114300" simplePos="0" relativeHeight="251678720" behindDoc="1" locked="0" layoutInCell="1" allowOverlap="1" wp14:anchorId="184E6453" wp14:editId="126B7A1B">
            <wp:simplePos x="0" y="0"/>
            <wp:positionH relativeFrom="column">
              <wp:posOffset>228600</wp:posOffset>
            </wp:positionH>
            <wp:positionV relativeFrom="paragraph">
              <wp:posOffset>104775</wp:posOffset>
            </wp:positionV>
            <wp:extent cx="508000" cy="531495"/>
            <wp:effectExtent l="0" t="0" r="6350" b="1905"/>
            <wp:wrapTight wrapText="bothSides">
              <wp:wrapPolygon edited="0">
                <wp:start x="6480" y="0"/>
                <wp:lineTo x="0" y="3097"/>
                <wp:lineTo x="0" y="17806"/>
                <wp:lineTo x="6480" y="20903"/>
                <wp:lineTo x="14580" y="20903"/>
                <wp:lineTo x="17010" y="20903"/>
                <wp:lineTo x="21060" y="15484"/>
                <wp:lineTo x="21060" y="3097"/>
                <wp:lineTo x="14580" y="0"/>
                <wp:lineTo x="648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C900293188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1FA" w:rsidRPr="00290D39">
        <w:rPr>
          <w:rFonts w:ascii="Verdana" w:eastAsia="Calibri" w:hAnsi="Verdana" w:cs="Tahoma"/>
          <w:sz w:val="18"/>
          <w:szCs w:val="18"/>
          <w:u w:val="single"/>
        </w:rPr>
        <w:t>A noter également que le Mandataire ne se su</w:t>
      </w:r>
      <w:r w:rsidRPr="00290D39">
        <w:rPr>
          <w:rFonts w:ascii="Verdana" w:eastAsia="Calibri" w:hAnsi="Verdana" w:cs="Tahoma"/>
          <w:sz w:val="18"/>
          <w:szCs w:val="18"/>
          <w:u w:val="single"/>
        </w:rPr>
        <w:t xml:space="preserve">bstitue pas aux autres aidants, </w:t>
      </w:r>
      <w:r w:rsidR="00AB01FA" w:rsidRPr="00290D39">
        <w:rPr>
          <w:rFonts w:ascii="Verdana" w:eastAsia="Calibri" w:hAnsi="Verdana" w:cs="Tahoma"/>
          <w:sz w:val="18"/>
          <w:szCs w:val="18"/>
          <w:u w:val="single"/>
        </w:rPr>
        <w:t>famil</w:t>
      </w:r>
      <w:r w:rsidR="001D6402">
        <w:rPr>
          <w:rFonts w:ascii="Verdana" w:eastAsia="Calibri" w:hAnsi="Verdana" w:cs="Tahoma"/>
          <w:sz w:val="18"/>
          <w:szCs w:val="18"/>
          <w:u w:val="single"/>
        </w:rPr>
        <w:t>iaux ou professionnels, qui l’</w:t>
      </w:r>
      <w:r w:rsidR="00AB01FA" w:rsidRPr="00290D39">
        <w:rPr>
          <w:rFonts w:ascii="Verdana" w:eastAsia="Calibri" w:hAnsi="Verdana" w:cs="Tahoma"/>
          <w:sz w:val="18"/>
          <w:szCs w:val="18"/>
          <w:u w:val="single"/>
        </w:rPr>
        <w:t>entourent habituellement mais intervient en complément et en lien avec eux.</w:t>
      </w:r>
      <w:r w:rsidR="001D6402">
        <w:rPr>
          <w:rFonts w:ascii="Verdana" w:eastAsia="Calibri" w:hAnsi="Verdana" w:cs="Tahoma"/>
          <w:sz w:val="18"/>
          <w:szCs w:val="18"/>
        </w:rPr>
        <w:t xml:space="preserve">  N</w:t>
      </w:r>
      <w:r w:rsidR="00AB01FA" w:rsidRPr="00290D39">
        <w:rPr>
          <w:rFonts w:ascii="Verdana" w:eastAsia="Calibri" w:hAnsi="Verdana" w:cs="Tahoma"/>
          <w:sz w:val="18"/>
          <w:szCs w:val="18"/>
        </w:rPr>
        <w:t>éanmoins</w:t>
      </w:r>
      <w:r w:rsidR="001D6402">
        <w:rPr>
          <w:rFonts w:ascii="Verdana" w:eastAsia="Calibri" w:hAnsi="Verdana" w:cs="Tahoma"/>
          <w:sz w:val="18"/>
          <w:szCs w:val="18"/>
        </w:rPr>
        <w:t xml:space="preserve"> la personne protégée peut s’opposer</w:t>
      </w:r>
      <w:r w:rsidR="00AB01FA" w:rsidRPr="00290D39">
        <w:rPr>
          <w:rFonts w:ascii="Verdana" w:eastAsia="Calibri" w:hAnsi="Verdana" w:cs="Tahoma"/>
          <w:sz w:val="18"/>
          <w:szCs w:val="18"/>
        </w:rPr>
        <w:t xml:space="preserve"> à ce que</w:t>
      </w:r>
      <w:r w:rsidR="001D6402">
        <w:rPr>
          <w:rFonts w:ascii="Verdana" w:eastAsia="Calibri" w:hAnsi="Verdana" w:cs="Tahoma"/>
          <w:sz w:val="18"/>
          <w:szCs w:val="18"/>
        </w:rPr>
        <w:t xml:space="preserve"> certains membres de sa</w:t>
      </w:r>
      <w:r w:rsidR="00AB01FA" w:rsidRPr="00290D39">
        <w:rPr>
          <w:rFonts w:ascii="Verdana" w:eastAsia="Calibri" w:hAnsi="Verdana" w:cs="Tahoma"/>
          <w:sz w:val="18"/>
          <w:szCs w:val="18"/>
        </w:rPr>
        <w:t xml:space="preserve"> famille ou certains professionnels soien</w:t>
      </w:r>
      <w:r w:rsidR="001D6402">
        <w:rPr>
          <w:rFonts w:ascii="Verdana" w:eastAsia="Calibri" w:hAnsi="Verdana" w:cs="Tahoma"/>
          <w:sz w:val="18"/>
          <w:szCs w:val="18"/>
        </w:rPr>
        <w:t>t associés à l’exercice de sa</w:t>
      </w:r>
      <w:r w:rsidR="00AB01FA" w:rsidRPr="00290D39">
        <w:rPr>
          <w:rFonts w:ascii="Verdana" w:eastAsia="Calibri" w:hAnsi="Verdana" w:cs="Tahoma"/>
          <w:sz w:val="18"/>
          <w:szCs w:val="18"/>
        </w:rPr>
        <w:t xml:space="preserve"> mesure de protection.</w:t>
      </w:r>
    </w:p>
    <w:p w:rsidR="00290D39" w:rsidRDefault="00290D39" w:rsidP="00331EE7">
      <w:pPr>
        <w:spacing w:after="120" w:line="264" w:lineRule="auto"/>
        <w:ind w:right="543"/>
        <w:rPr>
          <w:rFonts w:ascii="Verdana" w:eastAsia="Times New Roman" w:hAnsi="Verdana" w:cs="Times New Roman"/>
          <w:sz w:val="18"/>
          <w:szCs w:val="18"/>
          <w:lang w:eastAsia="ja-JP"/>
        </w:rPr>
      </w:pPr>
    </w:p>
    <w:p w:rsidR="006D7916" w:rsidRDefault="006D7916" w:rsidP="00331EE7">
      <w:pPr>
        <w:spacing w:after="120" w:line="264" w:lineRule="auto"/>
        <w:ind w:right="543"/>
        <w:rPr>
          <w:rFonts w:ascii="Verdana" w:eastAsia="Times New Roman" w:hAnsi="Verdana" w:cs="Times New Roman"/>
          <w:sz w:val="18"/>
          <w:szCs w:val="18"/>
          <w:lang w:eastAsia="ja-JP"/>
        </w:rPr>
      </w:pPr>
    </w:p>
    <w:p w:rsidR="006D7916" w:rsidRPr="00290D39" w:rsidRDefault="006D7916" w:rsidP="00331EE7">
      <w:pPr>
        <w:spacing w:after="120" w:line="264" w:lineRule="auto"/>
        <w:ind w:right="543"/>
        <w:rPr>
          <w:rFonts w:ascii="Verdana" w:eastAsia="Times New Roman" w:hAnsi="Verdana" w:cs="Times New Roman"/>
          <w:sz w:val="18"/>
          <w:szCs w:val="18"/>
          <w:lang w:eastAsia="ja-JP"/>
        </w:rPr>
      </w:pPr>
    </w:p>
    <w:p w:rsidR="00AB01FA" w:rsidRPr="00290D39" w:rsidRDefault="00AB01FA" w:rsidP="00331EE7">
      <w:pPr>
        <w:spacing w:after="120" w:line="264" w:lineRule="auto"/>
        <w:ind w:left="567" w:right="543"/>
        <w:jc w:val="both"/>
        <w:rPr>
          <w:rFonts w:ascii="Verdana" w:eastAsia="Times New Roman" w:hAnsi="Verdana" w:cs="Times New Roman"/>
          <w:b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/>
          <w:sz w:val="18"/>
          <w:szCs w:val="18"/>
          <w:lang w:eastAsia="ja-JP"/>
        </w:rPr>
        <w:t>Le mandat spécial est une</w:t>
      </w:r>
      <w:r w:rsidR="001D6402">
        <w:rPr>
          <w:rFonts w:ascii="Verdana" w:eastAsia="Times New Roman" w:hAnsi="Verdana" w:cs="Times New Roman"/>
          <w:b/>
          <w:sz w:val="18"/>
          <w:szCs w:val="18"/>
          <w:lang w:eastAsia="ja-JP"/>
        </w:rPr>
        <w:t xml:space="preserve"> mesure temporaire. Le juge entendra la personne protégée, si son</w:t>
      </w:r>
      <w:r w:rsidRPr="00290D39">
        <w:rPr>
          <w:rFonts w:ascii="Verdana" w:eastAsia="Times New Roman" w:hAnsi="Verdana" w:cs="Times New Roman"/>
          <w:b/>
          <w:sz w:val="18"/>
          <w:szCs w:val="18"/>
          <w:lang w:eastAsia="ja-JP"/>
        </w:rPr>
        <w:t xml:space="preserve"> état de santé le permet, avant de décider de l’éventuelle ouverture d’une mesure de protection (curatelle ou tutelle) et de la personne qui sera désignée pour l’exercer.</w:t>
      </w:r>
    </w:p>
    <w:p w:rsidR="002F3405" w:rsidRPr="003E526F" w:rsidRDefault="002F3405" w:rsidP="003E526F">
      <w:pPr>
        <w:rPr>
          <w:rFonts w:ascii="Trebuchet MS" w:eastAsia="FZYaoTi" w:hAnsi="Trebuchet MS" w:cs="Tahoma"/>
          <w:noProof/>
          <w:color w:val="2E74B5" w:themeColor="accent1" w:themeShade="BF"/>
          <w:sz w:val="36"/>
          <w:szCs w:val="36"/>
          <w:lang w:eastAsia="ja-JP"/>
        </w:rPr>
      </w:pPr>
      <w:bookmarkStart w:id="0" w:name="_GoBack"/>
      <w:bookmarkEnd w:id="0"/>
    </w:p>
    <w:sectPr w:rsidR="002F3405" w:rsidRPr="003E526F" w:rsidSect="005F4BDD">
      <w:headerReference w:type="default" r:id="rId9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6C" w:rsidRDefault="0078606C" w:rsidP="004B3C64">
      <w:pPr>
        <w:spacing w:after="0" w:line="240" w:lineRule="auto"/>
      </w:pPr>
      <w:r>
        <w:separator/>
      </w:r>
    </w:p>
  </w:endnote>
  <w:endnote w:type="continuationSeparator" w:id="0">
    <w:p w:rsidR="0078606C" w:rsidRDefault="0078606C" w:rsidP="004B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fferaw">
    <w:altName w:val="Times New Roman"/>
    <w:charset w:val="00"/>
    <w:family w:val="script"/>
    <w:pitch w:val="variable"/>
    <w:sig w:usb0="80000027" w:usb1="00000000" w:usb2="0000004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6C" w:rsidRDefault="0078606C" w:rsidP="004B3C64">
      <w:pPr>
        <w:spacing w:after="0" w:line="240" w:lineRule="auto"/>
      </w:pPr>
      <w:r>
        <w:separator/>
      </w:r>
    </w:p>
  </w:footnote>
  <w:footnote w:type="continuationSeparator" w:id="0">
    <w:p w:rsidR="0078606C" w:rsidRDefault="0078606C" w:rsidP="004B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86" w:rsidRDefault="002348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0EBF"/>
    <w:multiLevelType w:val="hybridMultilevel"/>
    <w:tmpl w:val="A3E2C7C8"/>
    <w:lvl w:ilvl="0" w:tplc="3E1C10F4">
      <w:numFmt w:val="bullet"/>
      <w:lvlText w:val=""/>
      <w:lvlJc w:val="left"/>
      <w:pPr>
        <w:tabs>
          <w:tab w:val="num" w:pos="1416"/>
        </w:tabs>
        <w:ind w:left="1416" w:hanging="708"/>
      </w:pPr>
      <w:rPr>
        <w:rFonts w:ascii="Wingdings" w:eastAsia="Times New Roman" w:hAnsi="Wingdings" w:hint="default"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759CF"/>
    <w:multiLevelType w:val="hybridMultilevel"/>
    <w:tmpl w:val="0D18C6B2"/>
    <w:lvl w:ilvl="0" w:tplc="05E0DA7A">
      <w:start w:val="18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E9A4E0D"/>
    <w:multiLevelType w:val="hybridMultilevel"/>
    <w:tmpl w:val="1BF6F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1445"/>
    <w:multiLevelType w:val="hybridMultilevel"/>
    <w:tmpl w:val="9294A7F0"/>
    <w:lvl w:ilvl="0" w:tplc="D8A01FB0">
      <w:start w:val="1"/>
      <w:numFmt w:val="bullet"/>
      <w:lvlText w:val="‡"/>
      <w:lvlJc w:val="left"/>
      <w:pPr>
        <w:tabs>
          <w:tab w:val="num" w:pos="2381"/>
        </w:tabs>
        <w:ind w:left="2381" w:hanging="510"/>
      </w:pPr>
      <w:rPr>
        <w:rFonts w:ascii="Mufferaw" w:hAnsi="Mufferaw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626BF"/>
    <w:multiLevelType w:val="hybridMultilevel"/>
    <w:tmpl w:val="64BCD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F6CE1"/>
    <w:multiLevelType w:val="hybridMultilevel"/>
    <w:tmpl w:val="A3AEFDF0"/>
    <w:lvl w:ilvl="0" w:tplc="F91C4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95521"/>
    <w:multiLevelType w:val="hybridMultilevel"/>
    <w:tmpl w:val="550E7D38"/>
    <w:lvl w:ilvl="0" w:tplc="E2BA8F70">
      <w:start w:val="1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BE829F9"/>
    <w:multiLevelType w:val="hybridMultilevel"/>
    <w:tmpl w:val="6DF025AE"/>
    <w:lvl w:ilvl="0" w:tplc="67D2743A">
      <w:start w:val="15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9CB5465"/>
    <w:multiLevelType w:val="hybridMultilevel"/>
    <w:tmpl w:val="204672B0"/>
    <w:lvl w:ilvl="0" w:tplc="46768CBA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C3AEB"/>
    <w:multiLevelType w:val="hybridMultilevel"/>
    <w:tmpl w:val="9126F484"/>
    <w:lvl w:ilvl="0" w:tplc="20A249CC">
      <w:numFmt w:val="bullet"/>
      <w:lvlText w:val=""/>
      <w:lvlJc w:val="left"/>
      <w:pPr>
        <w:tabs>
          <w:tab w:val="num" w:pos="1416"/>
        </w:tabs>
        <w:ind w:left="1416" w:hanging="708"/>
      </w:pPr>
      <w:rPr>
        <w:rFonts w:ascii="Wingdings" w:eastAsia="Times New Roman" w:hAnsi="Wingdings" w:hint="default"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1184F"/>
    <w:multiLevelType w:val="hybridMultilevel"/>
    <w:tmpl w:val="C1627C50"/>
    <w:lvl w:ilvl="0" w:tplc="F850A5A2">
      <w:start w:val="3919"/>
      <w:numFmt w:val="decimal"/>
      <w:lvlText w:val="%1"/>
      <w:lvlJc w:val="left"/>
      <w:pPr>
        <w:tabs>
          <w:tab w:val="num" w:pos="1416"/>
        </w:tabs>
        <w:ind w:left="1416" w:hanging="105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E1"/>
    <w:rsid w:val="0003068A"/>
    <w:rsid w:val="00035990"/>
    <w:rsid w:val="00044D83"/>
    <w:rsid w:val="00045FEC"/>
    <w:rsid w:val="0006149E"/>
    <w:rsid w:val="00073AB3"/>
    <w:rsid w:val="00081AC2"/>
    <w:rsid w:val="000A16F7"/>
    <w:rsid w:val="000B5109"/>
    <w:rsid w:val="000B7753"/>
    <w:rsid w:val="000D10C0"/>
    <w:rsid w:val="00102EB5"/>
    <w:rsid w:val="00132A96"/>
    <w:rsid w:val="001747DD"/>
    <w:rsid w:val="00186715"/>
    <w:rsid w:val="001D1670"/>
    <w:rsid w:val="001D6402"/>
    <w:rsid w:val="00234886"/>
    <w:rsid w:val="002354A7"/>
    <w:rsid w:val="002418B9"/>
    <w:rsid w:val="00256BDF"/>
    <w:rsid w:val="00271035"/>
    <w:rsid w:val="00274F49"/>
    <w:rsid w:val="00290D39"/>
    <w:rsid w:val="002B3BE6"/>
    <w:rsid w:val="002F3405"/>
    <w:rsid w:val="00311B10"/>
    <w:rsid w:val="00331EE7"/>
    <w:rsid w:val="0039230A"/>
    <w:rsid w:val="003E526F"/>
    <w:rsid w:val="004032E0"/>
    <w:rsid w:val="00411D1C"/>
    <w:rsid w:val="00412074"/>
    <w:rsid w:val="00423784"/>
    <w:rsid w:val="0042436C"/>
    <w:rsid w:val="004625DB"/>
    <w:rsid w:val="004625FA"/>
    <w:rsid w:val="00480F58"/>
    <w:rsid w:val="00494B30"/>
    <w:rsid w:val="004A4D3B"/>
    <w:rsid w:val="004B3C64"/>
    <w:rsid w:val="004D1C5B"/>
    <w:rsid w:val="004E5120"/>
    <w:rsid w:val="005024A4"/>
    <w:rsid w:val="00505386"/>
    <w:rsid w:val="0051137D"/>
    <w:rsid w:val="005823FA"/>
    <w:rsid w:val="00586B9A"/>
    <w:rsid w:val="005F4BDD"/>
    <w:rsid w:val="00607BDA"/>
    <w:rsid w:val="006144D3"/>
    <w:rsid w:val="00642224"/>
    <w:rsid w:val="00647495"/>
    <w:rsid w:val="00664AE1"/>
    <w:rsid w:val="006A1EB9"/>
    <w:rsid w:val="006A4E15"/>
    <w:rsid w:val="006B4B10"/>
    <w:rsid w:val="006C1052"/>
    <w:rsid w:val="006D7916"/>
    <w:rsid w:val="006F3129"/>
    <w:rsid w:val="00705D59"/>
    <w:rsid w:val="00706911"/>
    <w:rsid w:val="00712092"/>
    <w:rsid w:val="007269B8"/>
    <w:rsid w:val="007429FB"/>
    <w:rsid w:val="00742A93"/>
    <w:rsid w:val="007478E8"/>
    <w:rsid w:val="00760A08"/>
    <w:rsid w:val="007628CA"/>
    <w:rsid w:val="0078606C"/>
    <w:rsid w:val="008603B7"/>
    <w:rsid w:val="008704EF"/>
    <w:rsid w:val="008A7DED"/>
    <w:rsid w:val="008B3A6A"/>
    <w:rsid w:val="008C5E4C"/>
    <w:rsid w:val="008F5CAB"/>
    <w:rsid w:val="00932E6F"/>
    <w:rsid w:val="00937A7E"/>
    <w:rsid w:val="00944037"/>
    <w:rsid w:val="009728B2"/>
    <w:rsid w:val="0098677C"/>
    <w:rsid w:val="009C659A"/>
    <w:rsid w:val="009E2CE3"/>
    <w:rsid w:val="00A00468"/>
    <w:rsid w:val="00A31D37"/>
    <w:rsid w:val="00A63CA2"/>
    <w:rsid w:val="00A80022"/>
    <w:rsid w:val="00A8023A"/>
    <w:rsid w:val="00A83737"/>
    <w:rsid w:val="00AA2C48"/>
    <w:rsid w:val="00AB01FA"/>
    <w:rsid w:val="00AC069F"/>
    <w:rsid w:val="00AC62AE"/>
    <w:rsid w:val="00AD7098"/>
    <w:rsid w:val="00AE12CB"/>
    <w:rsid w:val="00AF6E09"/>
    <w:rsid w:val="00B147E4"/>
    <w:rsid w:val="00B2517F"/>
    <w:rsid w:val="00B26666"/>
    <w:rsid w:val="00B333DE"/>
    <w:rsid w:val="00B335F6"/>
    <w:rsid w:val="00B47327"/>
    <w:rsid w:val="00B512A2"/>
    <w:rsid w:val="00B62C55"/>
    <w:rsid w:val="00B6359C"/>
    <w:rsid w:val="00B8165B"/>
    <w:rsid w:val="00B93998"/>
    <w:rsid w:val="00BC5A8A"/>
    <w:rsid w:val="00BC7F75"/>
    <w:rsid w:val="00BE36D7"/>
    <w:rsid w:val="00C0128C"/>
    <w:rsid w:val="00C20F69"/>
    <w:rsid w:val="00C42AB4"/>
    <w:rsid w:val="00C65AAB"/>
    <w:rsid w:val="00C7269E"/>
    <w:rsid w:val="00C92700"/>
    <w:rsid w:val="00C975A0"/>
    <w:rsid w:val="00CB1F48"/>
    <w:rsid w:val="00D1755B"/>
    <w:rsid w:val="00D36D52"/>
    <w:rsid w:val="00D54877"/>
    <w:rsid w:val="00DA2932"/>
    <w:rsid w:val="00E35884"/>
    <w:rsid w:val="00E42EEB"/>
    <w:rsid w:val="00EA0639"/>
    <w:rsid w:val="00EB2DC5"/>
    <w:rsid w:val="00EF0035"/>
    <w:rsid w:val="00F14CDE"/>
    <w:rsid w:val="00F1713C"/>
    <w:rsid w:val="00F30BA9"/>
    <w:rsid w:val="00F57EBD"/>
    <w:rsid w:val="00F80012"/>
    <w:rsid w:val="00F808FD"/>
    <w:rsid w:val="00FA310D"/>
    <w:rsid w:val="00FB1449"/>
    <w:rsid w:val="00FD17F7"/>
    <w:rsid w:val="00FE79E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D955F"/>
  <w15:docId w15:val="{8919F130-B055-48AE-882B-15775C44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D"/>
  </w:style>
  <w:style w:type="paragraph" w:styleId="Titre1">
    <w:name w:val="heading 1"/>
    <w:basedOn w:val="Normal"/>
    <w:next w:val="Normal"/>
    <w:link w:val="Titre1Car"/>
    <w:uiPriority w:val="9"/>
    <w:qFormat/>
    <w:rsid w:val="00664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4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F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3784"/>
    <w:rPr>
      <w:b/>
      <w:bCs/>
    </w:rPr>
  </w:style>
  <w:style w:type="character" w:customStyle="1" w:styleId="apple-converted-space">
    <w:name w:val="apple-converted-space"/>
    <w:basedOn w:val="Policepardfaut"/>
    <w:rsid w:val="00423784"/>
  </w:style>
  <w:style w:type="character" w:styleId="Lienhypertexte">
    <w:name w:val="Hyperlink"/>
    <w:basedOn w:val="Policepardfaut"/>
    <w:uiPriority w:val="99"/>
    <w:semiHidden/>
    <w:unhideWhenUsed/>
    <w:rsid w:val="00423784"/>
    <w:rPr>
      <w:color w:val="0000FF"/>
      <w:u w:val="single"/>
    </w:rPr>
  </w:style>
  <w:style w:type="character" w:styleId="Emphaseintense">
    <w:name w:val="Intense Emphasis"/>
    <w:basedOn w:val="Policepardfaut"/>
    <w:uiPriority w:val="21"/>
    <w:qFormat/>
    <w:rsid w:val="00AC62AE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AC62AE"/>
    <w:pPr>
      <w:ind w:left="720"/>
      <w:contextualSpacing/>
    </w:pPr>
  </w:style>
  <w:style w:type="table" w:customStyle="1" w:styleId="TableauGrille6Couleur-Accentuation21">
    <w:name w:val="Tableau Grille 6 Couleur - Accentuation 21"/>
    <w:basedOn w:val="TableauNormal"/>
    <w:uiPriority w:val="51"/>
    <w:rsid w:val="004625DB"/>
    <w:pPr>
      <w:spacing w:after="0" w:line="240" w:lineRule="auto"/>
    </w:pPr>
    <w:rPr>
      <w:rFonts w:eastAsia="Times New Roman"/>
      <w:color w:val="C45911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D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7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unhideWhenUsed/>
    <w:rsid w:val="00A6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C64"/>
  </w:style>
  <w:style w:type="paragraph" w:styleId="Pieddepage">
    <w:name w:val="footer"/>
    <w:basedOn w:val="Normal"/>
    <w:link w:val="PieddepageCar"/>
    <w:uiPriority w:val="99"/>
    <w:unhideWhenUsed/>
    <w:rsid w:val="004B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8D83-70D8-439E-8DAD-4D3980A1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Schwob</dc:creator>
  <cp:lastModifiedBy>Fabienne RODEVILLE</cp:lastModifiedBy>
  <cp:revision>2</cp:revision>
  <dcterms:created xsi:type="dcterms:W3CDTF">2017-10-20T13:25:00Z</dcterms:created>
  <dcterms:modified xsi:type="dcterms:W3CDTF">2017-10-20T13:25:00Z</dcterms:modified>
</cp:coreProperties>
</file>