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64" w:rsidRPr="00290D39" w:rsidRDefault="00AB01FA" w:rsidP="00331EE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3"/>
        <w:jc w:val="center"/>
        <w:rPr>
          <w:rFonts w:ascii="Verdana" w:hAnsi="Verdana"/>
          <w:b/>
          <w:sz w:val="28"/>
          <w:szCs w:val="28"/>
        </w:rPr>
      </w:pPr>
      <w:r w:rsidRPr="00290D39">
        <w:rPr>
          <w:rFonts w:ascii="Verdana" w:hAnsi="Verdana"/>
          <w:b/>
          <w:sz w:val="28"/>
          <w:szCs w:val="28"/>
        </w:rPr>
        <w:t>La curatelle simple</w:t>
      </w:r>
    </w:p>
    <w:p w:rsidR="00290D39" w:rsidRPr="00FA310D" w:rsidRDefault="00290D39" w:rsidP="00FA310D">
      <w:pPr>
        <w:rPr>
          <w:rFonts w:ascii="Verdana" w:hAnsi="Verdana"/>
          <w:sz w:val="18"/>
          <w:szCs w:val="18"/>
        </w:rPr>
      </w:pPr>
    </w:p>
    <w:p w:rsidR="00290D39" w:rsidRDefault="00290D39" w:rsidP="00AB01FA">
      <w:pPr>
        <w:jc w:val="both"/>
        <w:rPr>
          <w:rFonts w:ascii="Verdana" w:hAnsi="Verdana" w:cs="Arial"/>
          <w:noProof/>
          <w:color w:val="333399"/>
          <w:sz w:val="18"/>
          <w:szCs w:val="18"/>
          <w:u w:val="single"/>
        </w:rPr>
      </w:pPr>
    </w:p>
    <w:p w:rsidR="00AB01FA" w:rsidRDefault="00AB01FA" w:rsidP="00331EE7">
      <w:pPr>
        <w:ind w:left="426" w:right="543"/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C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Le point de départ de l’i</w:t>
      </w:r>
      <w:r w:rsidR="00494B30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ntervention du curateur dans une curatelle simple</w:t>
      </w:r>
    </w:p>
    <w:p w:rsidR="006D7916" w:rsidRPr="00290D39" w:rsidRDefault="006D7916" w:rsidP="00331EE7">
      <w:pPr>
        <w:ind w:left="426" w:right="543"/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</w:p>
    <w:p w:rsidR="00607BDA" w:rsidRPr="000D10C0" w:rsidRDefault="00494B30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Votre</w:t>
      </w:r>
      <w:r w:rsidR="00607BDA" w:rsidRPr="000D10C0">
        <w:rPr>
          <w:rFonts w:ascii="Verdana" w:eastAsia="Calibri" w:hAnsi="Verdana" w:cs="Tahoma"/>
          <w:sz w:val="18"/>
          <w:szCs w:val="18"/>
        </w:rPr>
        <w:t xml:space="preserve"> intervention commence dès la réception de la décision de justice.</w:t>
      </w:r>
    </w:p>
    <w:p w:rsidR="00AB01FA" w:rsidRPr="000D10C0" w:rsidRDefault="00494B30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Vous devez</w:t>
      </w:r>
      <w:r w:rsidR="00AB01FA" w:rsidRPr="000D10C0">
        <w:rPr>
          <w:rFonts w:ascii="Verdana" w:eastAsia="Calibri" w:hAnsi="Verdana" w:cs="Tahoma"/>
          <w:sz w:val="18"/>
          <w:szCs w:val="18"/>
        </w:rPr>
        <w:t xml:space="preserve"> mettre en place la mesure, et ce, même si un re</w:t>
      </w:r>
      <w:r>
        <w:rPr>
          <w:rFonts w:ascii="Verdana" w:eastAsia="Calibri" w:hAnsi="Verdana" w:cs="Tahoma"/>
          <w:sz w:val="18"/>
          <w:szCs w:val="18"/>
        </w:rPr>
        <w:t>cours a été exercé par la personne protégée</w:t>
      </w:r>
      <w:r w:rsidR="00AB01FA" w:rsidRPr="000D10C0">
        <w:rPr>
          <w:rFonts w:ascii="Verdana" w:eastAsia="Calibri" w:hAnsi="Verdana" w:cs="Tahoma"/>
          <w:sz w:val="18"/>
          <w:szCs w:val="18"/>
        </w:rPr>
        <w:t xml:space="preserve"> ou un proche. </w:t>
      </w:r>
    </w:p>
    <w:p w:rsidR="004B3C64" w:rsidRDefault="00494B30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Vous</w:t>
      </w:r>
      <w:r w:rsidR="00AB01FA" w:rsidRPr="000D10C0">
        <w:rPr>
          <w:rFonts w:ascii="Verdana" w:eastAsia="Calibri" w:hAnsi="Verdana" w:cs="Tahoma"/>
          <w:sz w:val="18"/>
          <w:szCs w:val="18"/>
        </w:rPr>
        <w:t xml:space="preserve"> de</w:t>
      </w:r>
      <w:r>
        <w:rPr>
          <w:rFonts w:ascii="Verdana" w:eastAsia="Calibri" w:hAnsi="Verdana" w:cs="Tahoma"/>
          <w:sz w:val="18"/>
          <w:szCs w:val="18"/>
        </w:rPr>
        <w:t>vez</w:t>
      </w:r>
      <w:r w:rsidR="00AB01FA" w:rsidRPr="000D10C0">
        <w:rPr>
          <w:rFonts w:ascii="Verdana" w:eastAsia="Calibri" w:hAnsi="Verdana" w:cs="Tahoma"/>
          <w:sz w:val="18"/>
          <w:szCs w:val="18"/>
        </w:rPr>
        <w:t xml:space="preserve"> mettre en place les mesures urgentes commandées par le Juge. </w:t>
      </w:r>
    </w:p>
    <w:p w:rsidR="00290D39" w:rsidRPr="000D10C0" w:rsidRDefault="00290D39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</w:p>
    <w:p w:rsidR="00664AE1" w:rsidRDefault="00664AE1" w:rsidP="00331EE7">
      <w:pPr>
        <w:ind w:left="426" w:right="543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D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</w:t>
      </w:r>
      <w:r w:rsidR="00706911"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Ce que dit la loi</w:t>
      </w:r>
    </w:p>
    <w:p w:rsidR="006D7916" w:rsidRPr="00290D39" w:rsidRDefault="006D7916" w:rsidP="00331EE7">
      <w:pPr>
        <w:ind w:left="426" w:right="543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</w:p>
    <w:p w:rsidR="00706911" w:rsidRPr="000D10C0" w:rsidRDefault="00494B30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L’un des objectifs de la</w:t>
      </w:r>
      <w:r w:rsidR="00706911" w:rsidRPr="000D10C0">
        <w:rPr>
          <w:rFonts w:ascii="Verdana" w:eastAsia="Calibri" w:hAnsi="Verdana" w:cs="Tahoma"/>
          <w:sz w:val="18"/>
          <w:szCs w:val="18"/>
        </w:rPr>
        <w:t xml:space="preserve"> mesure</w:t>
      </w:r>
      <w:r>
        <w:rPr>
          <w:rFonts w:ascii="Verdana" w:eastAsia="Calibri" w:hAnsi="Verdana" w:cs="Tahoma"/>
          <w:sz w:val="18"/>
          <w:szCs w:val="18"/>
        </w:rPr>
        <w:t xml:space="preserve"> de curatelle simple est d’assister la personne protégée </w:t>
      </w:r>
      <w:r w:rsidR="00706911" w:rsidRPr="000D10C0">
        <w:rPr>
          <w:rFonts w:ascii="Verdana" w:eastAsia="Calibri" w:hAnsi="Verdana" w:cs="Tahoma"/>
          <w:sz w:val="18"/>
          <w:szCs w:val="18"/>
        </w:rPr>
        <w:t xml:space="preserve">dans </w:t>
      </w:r>
      <w:r w:rsidR="00AF6E09" w:rsidRPr="000D10C0">
        <w:rPr>
          <w:rFonts w:ascii="Verdana" w:eastAsia="Calibri" w:hAnsi="Verdana" w:cs="Tahoma"/>
          <w:sz w:val="18"/>
          <w:szCs w:val="18"/>
        </w:rPr>
        <w:t>la réalisation des actes importants</w:t>
      </w:r>
      <w:r>
        <w:rPr>
          <w:rFonts w:ascii="Verdana" w:eastAsia="Calibri" w:hAnsi="Verdana" w:cs="Tahoma"/>
          <w:sz w:val="18"/>
          <w:szCs w:val="18"/>
        </w:rPr>
        <w:t xml:space="preserve"> de sa</w:t>
      </w:r>
      <w:r w:rsidR="00D36D52" w:rsidRPr="000D10C0">
        <w:rPr>
          <w:rFonts w:ascii="Verdana" w:eastAsia="Calibri" w:hAnsi="Verdana" w:cs="Tahoma"/>
          <w:sz w:val="18"/>
          <w:szCs w:val="18"/>
        </w:rPr>
        <w:t xml:space="preserve"> vie.</w:t>
      </w:r>
    </w:p>
    <w:p w:rsidR="00706911" w:rsidRPr="0042436C" w:rsidRDefault="00494B30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Dès que possible, vous devez informer les banques la</w:t>
      </w:r>
      <w:r w:rsidR="00706911" w:rsidRPr="0042436C">
        <w:rPr>
          <w:rFonts w:ascii="Verdana" w:eastAsia="Calibri" w:hAnsi="Verdana" w:cs="Tahoma"/>
          <w:sz w:val="18"/>
          <w:szCs w:val="18"/>
        </w:rPr>
        <w:t xml:space="preserve"> m</w:t>
      </w:r>
      <w:r>
        <w:rPr>
          <w:rFonts w:ascii="Verdana" w:eastAsia="Calibri" w:hAnsi="Verdana" w:cs="Tahoma"/>
          <w:sz w:val="18"/>
          <w:szCs w:val="18"/>
        </w:rPr>
        <w:t>esure de protection.</w:t>
      </w:r>
    </w:p>
    <w:p w:rsidR="00706911" w:rsidRPr="0042436C" w:rsidRDefault="006D7916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 xml:space="preserve">A partir du moment où vous avez informé les banques de la mesure, elles doivent vous </w:t>
      </w:r>
      <w:r w:rsidR="00706911" w:rsidRPr="0042436C">
        <w:rPr>
          <w:rFonts w:ascii="Verdana" w:eastAsia="Calibri" w:hAnsi="Verdana" w:cs="Tahoma"/>
          <w:sz w:val="18"/>
          <w:szCs w:val="18"/>
        </w:rPr>
        <w:t>adress</w:t>
      </w:r>
      <w:r>
        <w:rPr>
          <w:rFonts w:ascii="Verdana" w:eastAsia="Calibri" w:hAnsi="Verdana" w:cs="Tahoma"/>
          <w:sz w:val="18"/>
          <w:szCs w:val="18"/>
        </w:rPr>
        <w:t>er la liste et le montant des</w:t>
      </w:r>
      <w:r w:rsidR="00706911" w:rsidRPr="0042436C">
        <w:rPr>
          <w:rFonts w:ascii="Verdana" w:eastAsia="Calibri" w:hAnsi="Verdana" w:cs="Tahoma"/>
          <w:sz w:val="18"/>
          <w:szCs w:val="18"/>
        </w:rPr>
        <w:t xml:space="preserve"> </w:t>
      </w:r>
      <w:r w:rsidR="00C65AAB" w:rsidRPr="0042436C">
        <w:rPr>
          <w:rFonts w:ascii="Verdana" w:eastAsia="Calibri" w:hAnsi="Verdana" w:cs="Tahoma"/>
          <w:sz w:val="18"/>
          <w:szCs w:val="18"/>
        </w:rPr>
        <w:t>placements</w:t>
      </w:r>
      <w:r w:rsidR="00706911" w:rsidRPr="0042436C">
        <w:rPr>
          <w:rFonts w:ascii="Verdana" w:eastAsia="Calibri" w:hAnsi="Verdana" w:cs="Tahoma"/>
          <w:sz w:val="18"/>
          <w:szCs w:val="18"/>
        </w:rPr>
        <w:t>, et résilier toute procuration existante. Elles ne peuve</w:t>
      </w:r>
      <w:r w:rsidR="00C65AAB" w:rsidRPr="0042436C">
        <w:rPr>
          <w:rFonts w:ascii="Verdana" w:eastAsia="Calibri" w:hAnsi="Verdana" w:cs="Tahoma"/>
          <w:sz w:val="18"/>
          <w:szCs w:val="18"/>
        </w:rPr>
        <w:t>nt effectuer d’opération sur ces placements</w:t>
      </w:r>
      <w:r>
        <w:rPr>
          <w:rFonts w:ascii="Verdana" w:eastAsia="Calibri" w:hAnsi="Verdana" w:cs="Tahoma"/>
          <w:sz w:val="18"/>
          <w:szCs w:val="18"/>
        </w:rPr>
        <w:t xml:space="preserve"> que si vous signez avec la personne protégée</w:t>
      </w:r>
      <w:r w:rsidR="00706911" w:rsidRPr="0042436C">
        <w:rPr>
          <w:rFonts w:ascii="Verdana" w:eastAsia="Calibri" w:hAnsi="Verdana" w:cs="Tahoma"/>
          <w:sz w:val="18"/>
          <w:szCs w:val="18"/>
        </w:rPr>
        <w:t>.</w:t>
      </w:r>
    </w:p>
    <w:p w:rsidR="00706911" w:rsidRPr="000D10C0" w:rsidRDefault="00706911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 w:rsidRPr="000D10C0">
        <w:rPr>
          <w:rFonts w:ascii="Verdana" w:eastAsia="Calibri" w:hAnsi="Verdana" w:cs="Tahoma"/>
          <w:noProof/>
          <w:sz w:val="18"/>
          <w:szCs w:val="18"/>
          <w:lang w:eastAsia="fr-FR"/>
        </w:rPr>
        <w:drawing>
          <wp:anchor distT="0" distB="0" distL="114300" distR="114300" simplePos="0" relativeHeight="251667456" behindDoc="1" locked="0" layoutInCell="1" allowOverlap="1" wp14:anchorId="2D5AFEA3" wp14:editId="16E78CE8">
            <wp:simplePos x="0" y="0"/>
            <wp:positionH relativeFrom="column">
              <wp:posOffset>50800</wp:posOffset>
            </wp:positionH>
            <wp:positionV relativeFrom="paragraph">
              <wp:posOffset>15240</wp:posOffset>
            </wp:positionV>
            <wp:extent cx="508000" cy="531495"/>
            <wp:effectExtent l="0" t="0" r="6350" b="1905"/>
            <wp:wrapTight wrapText="bothSides">
              <wp:wrapPolygon edited="0">
                <wp:start x="6480" y="0"/>
                <wp:lineTo x="0" y="3097"/>
                <wp:lineTo x="0" y="18581"/>
                <wp:lineTo x="6480" y="20903"/>
                <wp:lineTo x="14580" y="20903"/>
                <wp:lineTo x="17010" y="20903"/>
                <wp:lineTo x="21060" y="15484"/>
                <wp:lineTo x="21060" y="6968"/>
                <wp:lineTo x="18630" y="1548"/>
                <wp:lineTo x="14580" y="0"/>
                <wp:lineTo x="648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2931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16">
        <w:rPr>
          <w:rFonts w:ascii="Verdana" w:eastAsia="Calibri" w:hAnsi="Verdana" w:cs="Tahoma"/>
          <w:sz w:val="18"/>
          <w:szCs w:val="18"/>
        </w:rPr>
        <w:t xml:space="preserve"> La</w:t>
      </w:r>
      <w:r w:rsidRPr="000D10C0">
        <w:rPr>
          <w:rFonts w:ascii="Verdana" w:eastAsia="Calibri" w:hAnsi="Verdana" w:cs="Tahoma"/>
          <w:sz w:val="18"/>
          <w:szCs w:val="18"/>
        </w:rPr>
        <w:t xml:space="preserve"> mesure prévoit </w:t>
      </w:r>
      <w:r w:rsidR="006D7916" w:rsidRPr="000D10C0">
        <w:rPr>
          <w:rFonts w:ascii="Verdana" w:eastAsia="Calibri" w:hAnsi="Verdana" w:cs="Tahoma"/>
          <w:sz w:val="18"/>
          <w:szCs w:val="18"/>
        </w:rPr>
        <w:t xml:space="preserve">que </w:t>
      </w:r>
      <w:r w:rsidR="006A1EB9">
        <w:rPr>
          <w:rFonts w:ascii="Verdana" w:eastAsia="Calibri" w:hAnsi="Verdana" w:cs="Tahoma"/>
          <w:sz w:val="18"/>
          <w:szCs w:val="18"/>
        </w:rPr>
        <w:t>la</w:t>
      </w:r>
      <w:r w:rsidR="006D7916">
        <w:rPr>
          <w:rFonts w:ascii="Verdana" w:eastAsia="Calibri" w:hAnsi="Verdana" w:cs="Tahoma"/>
          <w:sz w:val="18"/>
          <w:szCs w:val="18"/>
        </w:rPr>
        <w:t xml:space="preserve"> personne protégée continue à gérer seule son compte courant, à percevoir ses ressources et à régler ses</w:t>
      </w:r>
      <w:r w:rsidRPr="0042436C">
        <w:rPr>
          <w:rFonts w:ascii="Verdana" w:eastAsia="Calibri" w:hAnsi="Verdana" w:cs="Tahoma"/>
          <w:sz w:val="18"/>
          <w:szCs w:val="18"/>
        </w:rPr>
        <w:t xml:space="preserve"> factures.</w:t>
      </w:r>
      <w:r w:rsidR="006D7916">
        <w:rPr>
          <w:rFonts w:ascii="Verdana" w:eastAsia="Calibri" w:hAnsi="Verdana" w:cs="Tahoma"/>
          <w:sz w:val="18"/>
          <w:szCs w:val="18"/>
        </w:rPr>
        <w:t xml:space="preserve"> La personne protégée continue à utiliser ses</w:t>
      </w:r>
      <w:r w:rsidRPr="0042436C">
        <w:rPr>
          <w:rFonts w:ascii="Verdana" w:eastAsia="Calibri" w:hAnsi="Verdana" w:cs="Tahoma"/>
          <w:sz w:val="18"/>
          <w:szCs w:val="18"/>
        </w:rPr>
        <w:t xml:space="preserve"> moyens de paiements hab</w:t>
      </w:r>
      <w:r w:rsidR="006D7916">
        <w:rPr>
          <w:rFonts w:ascii="Verdana" w:eastAsia="Calibri" w:hAnsi="Verdana" w:cs="Tahoma"/>
          <w:sz w:val="18"/>
          <w:szCs w:val="18"/>
        </w:rPr>
        <w:t xml:space="preserve">ituels et votre banque </w:t>
      </w:r>
      <w:r w:rsidR="00F30BA9">
        <w:rPr>
          <w:rFonts w:ascii="Verdana" w:eastAsia="Calibri" w:hAnsi="Verdana" w:cs="Tahoma"/>
          <w:sz w:val="18"/>
          <w:szCs w:val="18"/>
        </w:rPr>
        <w:t>doit adresser</w:t>
      </w:r>
      <w:r w:rsidR="006D7916">
        <w:rPr>
          <w:rFonts w:ascii="Verdana" w:eastAsia="Calibri" w:hAnsi="Verdana" w:cs="Tahoma"/>
          <w:sz w:val="18"/>
          <w:szCs w:val="18"/>
        </w:rPr>
        <w:t xml:space="preserve"> directement les</w:t>
      </w:r>
      <w:r w:rsidRPr="0042436C">
        <w:rPr>
          <w:rFonts w:ascii="Verdana" w:eastAsia="Calibri" w:hAnsi="Verdana" w:cs="Tahoma"/>
          <w:sz w:val="18"/>
          <w:szCs w:val="18"/>
        </w:rPr>
        <w:t xml:space="preserve"> relevés d</w:t>
      </w:r>
      <w:r w:rsidR="006D7916">
        <w:rPr>
          <w:rFonts w:ascii="Verdana" w:eastAsia="Calibri" w:hAnsi="Verdana" w:cs="Tahoma"/>
          <w:sz w:val="18"/>
          <w:szCs w:val="18"/>
        </w:rPr>
        <w:t>e compte courant à la personne protégée.</w:t>
      </w:r>
    </w:p>
    <w:p w:rsidR="00706911" w:rsidRPr="000D10C0" w:rsidRDefault="00706911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 w:rsidRPr="000D10C0">
        <w:rPr>
          <w:rFonts w:ascii="Verdana" w:eastAsia="Calibri" w:hAnsi="Verdana" w:cs="Tahoma"/>
          <w:sz w:val="18"/>
          <w:szCs w:val="18"/>
        </w:rPr>
        <w:t>En curatelle simple, si la réalisation de l’inventaire est mentionnée dans le jugement, il doit être réalisé. Dans le cas contraire, il n’y aura pas d’inventaire.</w:t>
      </w:r>
    </w:p>
    <w:p w:rsidR="004B3C64" w:rsidRPr="000D10C0" w:rsidRDefault="00706911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 w:rsidRPr="000D10C0">
        <w:rPr>
          <w:rFonts w:ascii="Verdana" w:eastAsia="Calibri" w:hAnsi="Verdana" w:cs="Tahoma"/>
          <w:sz w:val="18"/>
          <w:szCs w:val="18"/>
        </w:rPr>
        <w:t xml:space="preserve">La loi prévoit que la personne protégée prend seule toute décision relative à sa personne dans la mesure où son état le permet. </w:t>
      </w:r>
    </w:p>
    <w:p w:rsidR="00664AE1" w:rsidRDefault="00AF6E09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r w:rsidRPr="000D10C0">
        <w:rPr>
          <w:rFonts w:ascii="Verdana" w:eastAsia="Calibri" w:hAnsi="Verdana" w:cs="Tahoma"/>
          <w:noProof/>
          <w:sz w:val="18"/>
          <w:szCs w:val="18"/>
          <w:lang w:eastAsia="fr-FR"/>
        </w:rPr>
        <w:drawing>
          <wp:anchor distT="0" distB="0" distL="114300" distR="114300" simplePos="0" relativeHeight="251680768" behindDoc="1" locked="0" layoutInCell="1" allowOverlap="1" wp14:anchorId="699B9A5D" wp14:editId="117DE417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508000" cy="531495"/>
            <wp:effectExtent l="0" t="0" r="6350" b="1905"/>
            <wp:wrapTight wrapText="bothSides">
              <wp:wrapPolygon edited="0">
                <wp:start x="6480" y="0"/>
                <wp:lineTo x="0" y="3097"/>
                <wp:lineTo x="0" y="17806"/>
                <wp:lineTo x="6480" y="20903"/>
                <wp:lineTo x="14580" y="20903"/>
                <wp:lineTo x="17010" y="20903"/>
                <wp:lineTo x="21060" y="15484"/>
                <wp:lineTo x="21060" y="3097"/>
                <wp:lineTo x="14580" y="0"/>
                <wp:lineTo x="648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2931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911" w:rsidRPr="000D10C0">
        <w:rPr>
          <w:rFonts w:ascii="Verdana" w:eastAsia="Calibri" w:hAnsi="Verdana" w:cs="Tahoma"/>
          <w:sz w:val="18"/>
          <w:szCs w:val="18"/>
          <w:u w:val="single"/>
        </w:rPr>
        <w:t>A noter également que le curateur ne se substitue pas aux autres aidants, famil</w:t>
      </w:r>
      <w:r w:rsidR="006D7916">
        <w:rPr>
          <w:rFonts w:ascii="Verdana" w:eastAsia="Calibri" w:hAnsi="Verdana" w:cs="Tahoma"/>
          <w:sz w:val="18"/>
          <w:szCs w:val="18"/>
          <w:u w:val="single"/>
        </w:rPr>
        <w:t xml:space="preserve">iaux ou professionnels, </w:t>
      </w:r>
      <w:r w:rsidR="00B26666">
        <w:rPr>
          <w:rFonts w:ascii="Verdana" w:eastAsia="Calibri" w:hAnsi="Verdana" w:cs="Tahoma"/>
          <w:sz w:val="18"/>
          <w:szCs w:val="18"/>
          <w:u w:val="single"/>
        </w:rPr>
        <w:t xml:space="preserve">qui </w:t>
      </w:r>
      <w:r w:rsidR="00B26666" w:rsidRPr="000D10C0">
        <w:rPr>
          <w:rFonts w:ascii="Verdana" w:eastAsia="Calibri" w:hAnsi="Verdana" w:cs="Tahoma"/>
          <w:sz w:val="18"/>
          <w:szCs w:val="18"/>
          <w:u w:val="single"/>
        </w:rPr>
        <w:t>entourent</w:t>
      </w:r>
      <w:r w:rsidR="00706911" w:rsidRPr="000D10C0">
        <w:rPr>
          <w:rFonts w:ascii="Verdana" w:eastAsia="Calibri" w:hAnsi="Verdana" w:cs="Tahoma"/>
          <w:sz w:val="18"/>
          <w:szCs w:val="18"/>
          <w:u w:val="single"/>
        </w:rPr>
        <w:t xml:space="preserve"> habituellement</w:t>
      </w:r>
      <w:r w:rsidR="006D7916">
        <w:rPr>
          <w:rFonts w:ascii="Verdana" w:eastAsia="Calibri" w:hAnsi="Verdana" w:cs="Tahoma"/>
          <w:sz w:val="18"/>
          <w:szCs w:val="18"/>
          <w:u w:val="single"/>
        </w:rPr>
        <w:t xml:space="preserve"> la personne protégée,</w:t>
      </w:r>
      <w:r w:rsidR="00706911" w:rsidRPr="000D10C0">
        <w:rPr>
          <w:rFonts w:ascii="Verdana" w:eastAsia="Calibri" w:hAnsi="Verdana" w:cs="Tahoma"/>
          <w:sz w:val="18"/>
          <w:szCs w:val="18"/>
          <w:u w:val="single"/>
        </w:rPr>
        <w:t xml:space="preserve"> mais intervient en complément et en lien avec eux.</w:t>
      </w:r>
      <w:r w:rsidR="00B26666">
        <w:rPr>
          <w:rFonts w:ascii="Verdana" w:eastAsia="Calibri" w:hAnsi="Verdana" w:cs="Tahoma"/>
          <w:sz w:val="18"/>
          <w:szCs w:val="18"/>
        </w:rPr>
        <w:t xml:space="preserve"> </w:t>
      </w:r>
      <w:bookmarkStart w:id="0" w:name="_Hlk496121858"/>
      <w:r w:rsidR="00B26666">
        <w:rPr>
          <w:rFonts w:ascii="Verdana" w:eastAsia="Calibri" w:hAnsi="Verdana" w:cs="Tahoma"/>
          <w:sz w:val="18"/>
          <w:szCs w:val="18"/>
        </w:rPr>
        <w:t>N</w:t>
      </w:r>
      <w:r w:rsidR="00706911" w:rsidRPr="000D10C0">
        <w:rPr>
          <w:rFonts w:ascii="Verdana" w:eastAsia="Calibri" w:hAnsi="Verdana" w:cs="Tahoma"/>
          <w:sz w:val="18"/>
          <w:szCs w:val="18"/>
        </w:rPr>
        <w:t xml:space="preserve">éanmoins </w:t>
      </w:r>
      <w:r w:rsidR="00B26666">
        <w:rPr>
          <w:rFonts w:ascii="Verdana" w:eastAsia="Calibri" w:hAnsi="Verdana" w:cs="Tahoma"/>
          <w:sz w:val="18"/>
          <w:szCs w:val="18"/>
        </w:rPr>
        <w:t>la personne protégée peut s’opposer à ce que sa</w:t>
      </w:r>
      <w:r w:rsidR="00706911" w:rsidRPr="000D10C0">
        <w:rPr>
          <w:rFonts w:ascii="Verdana" w:eastAsia="Calibri" w:hAnsi="Verdana" w:cs="Tahoma"/>
          <w:sz w:val="18"/>
          <w:szCs w:val="18"/>
        </w:rPr>
        <w:t xml:space="preserve"> famille ou certains professionnels soien</w:t>
      </w:r>
      <w:r w:rsidR="00234886">
        <w:rPr>
          <w:rFonts w:ascii="Verdana" w:eastAsia="Calibri" w:hAnsi="Verdana" w:cs="Tahoma"/>
          <w:sz w:val="18"/>
          <w:szCs w:val="18"/>
        </w:rPr>
        <w:t>t associés à l’exercice de sa</w:t>
      </w:r>
      <w:r w:rsidR="00706911" w:rsidRPr="000D10C0">
        <w:rPr>
          <w:rFonts w:ascii="Verdana" w:eastAsia="Calibri" w:hAnsi="Verdana" w:cs="Tahoma"/>
          <w:sz w:val="18"/>
          <w:szCs w:val="18"/>
        </w:rPr>
        <w:t xml:space="preserve"> mesure de protection.</w:t>
      </w:r>
    </w:p>
    <w:bookmarkEnd w:id="0"/>
    <w:p w:rsidR="006A1EB9" w:rsidRDefault="006A1EB9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</w:p>
    <w:p w:rsidR="006A1EB9" w:rsidRPr="00331EE7" w:rsidRDefault="006A1EB9" w:rsidP="00331EE7">
      <w:pPr>
        <w:spacing w:after="200" w:line="276" w:lineRule="auto"/>
        <w:ind w:left="426" w:right="543"/>
        <w:jc w:val="both"/>
        <w:rPr>
          <w:rFonts w:ascii="Verdana" w:eastAsia="Calibri" w:hAnsi="Verdana" w:cs="Tahoma"/>
          <w:sz w:val="18"/>
          <w:szCs w:val="18"/>
        </w:rPr>
      </w:pPr>
      <w:bookmarkStart w:id="1" w:name="_Hlk496122034"/>
    </w:p>
    <w:p w:rsidR="00B47327" w:rsidRDefault="00CB1F48" w:rsidP="00331EE7">
      <w:pPr>
        <w:ind w:left="426" w:right="543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sym w:font="Wingdings" w:char="F08E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</w:t>
      </w:r>
      <w:r w:rsidR="00B26666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Ce que vous décidez</w:t>
      </w:r>
      <w:r w:rsidR="00706911"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ensemble</w:t>
      </w:r>
    </w:p>
    <w:p w:rsidR="006A1EB9" w:rsidRPr="00290D39" w:rsidRDefault="006A1EB9" w:rsidP="006A1EB9">
      <w:pPr>
        <w:ind w:right="543"/>
        <w:rPr>
          <w:rStyle w:val="Emphaseintense"/>
          <w:rFonts w:ascii="Verdana" w:hAnsi="Verdana" w:cs="Arial"/>
          <w:b/>
          <w:i w:val="0"/>
          <w:iCs w:val="0"/>
          <w:noProof/>
          <w:color w:val="333399"/>
          <w:sz w:val="18"/>
          <w:szCs w:val="18"/>
          <w:u w:val="single"/>
        </w:rPr>
        <w:sectPr w:rsidR="006A1EB9" w:rsidRPr="00290D39" w:rsidSect="00331EE7">
          <w:headerReference w:type="default" r:id="rId9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706911" w:rsidRPr="000D10C0" w:rsidRDefault="00706911" w:rsidP="00331EE7">
      <w:pPr>
        <w:spacing w:after="200" w:line="276" w:lineRule="auto"/>
        <w:ind w:left="-284"/>
        <w:jc w:val="both"/>
        <w:rPr>
          <w:rFonts w:ascii="Verdana" w:eastAsia="Calibri" w:hAnsi="Verdana" w:cs="Tahoma"/>
          <w:sz w:val="18"/>
          <w:szCs w:val="18"/>
        </w:rPr>
      </w:pPr>
      <w:r w:rsidRPr="000D10C0">
        <w:rPr>
          <w:rFonts w:ascii="Verdana" w:eastAsia="Calibri" w:hAnsi="Verdana" w:cs="Tahoma"/>
          <w:sz w:val="18"/>
          <w:szCs w:val="18"/>
        </w:rPr>
        <w:lastRenderedPageBreak/>
        <w:t xml:space="preserve">Pour </w:t>
      </w:r>
      <w:r w:rsidR="00B26666">
        <w:rPr>
          <w:rFonts w:ascii="Verdana" w:eastAsia="Calibri" w:hAnsi="Verdana" w:cs="Tahoma"/>
          <w:sz w:val="18"/>
          <w:szCs w:val="18"/>
        </w:rPr>
        <w:t>que vous puissiez</w:t>
      </w:r>
      <w:r w:rsidRPr="000D10C0">
        <w:rPr>
          <w:rFonts w:ascii="Verdana" w:eastAsia="Calibri" w:hAnsi="Verdana" w:cs="Tahoma"/>
          <w:sz w:val="18"/>
          <w:szCs w:val="18"/>
        </w:rPr>
        <w:t xml:space="preserve"> proposer une intervention adaptée</w:t>
      </w:r>
      <w:r w:rsidR="00B26666">
        <w:rPr>
          <w:rFonts w:ascii="Verdana" w:eastAsia="Calibri" w:hAnsi="Verdana" w:cs="Tahoma"/>
          <w:sz w:val="18"/>
          <w:szCs w:val="18"/>
        </w:rPr>
        <w:t xml:space="preserve"> à votre personne protégée,</w:t>
      </w:r>
      <w:r w:rsidRPr="000D10C0">
        <w:rPr>
          <w:rFonts w:ascii="Verdana" w:eastAsia="Calibri" w:hAnsi="Verdana" w:cs="Tahoma"/>
          <w:sz w:val="18"/>
          <w:szCs w:val="18"/>
        </w:rPr>
        <w:t xml:space="preserve"> une évalu</w:t>
      </w:r>
      <w:r w:rsidR="00B26666">
        <w:rPr>
          <w:rFonts w:ascii="Verdana" w:eastAsia="Calibri" w:hAnsi="Verdana" w:cs="Tahoma"/>
          <w:sz w:val="18"/>
          <w:szCs w:val="18"/>
        </w:rPr>
        <w:t>ation de sa</w:t>
      </w:r>
      <w:r w:rsidRPr="000D10C0">
        <w:rPr>
          <w:rFonts w:ascii="Verdana" w:eastAsia="Calibri" w:hAnsi="Verdana" w:cs="Tahoma"/>
          <w:sz w:val="18"/>
          <w:szCs w:val="18"/>
        </w:rPr>
        <w:t xml:space="preserve"> situation est néc</w:t>
      </w:r>
      <w:r w:rsidR="00B26666">
        <w:rPr>
          <w:rFonts w:ascii="Verdana" w:eastAsia="Calibri" w:hAnsi="Verdana" w:cs="Tahoma"/>
          <w:sz w:val="18"/>
          <w:szCs w:val="18"/>
        </w:rPr>
        <w:t>essaire, afin de connaître son</w:t>
      </w:r>
      <w:r w:rsidRPr="000D10C0">
        <w:rPr>
          <w:rFonts w:ascii="Verdana" w:eastAsia="Calibri" w:hAnsi="Verdana" w:cs="Tahoma"/>
          <w:sz w:val="18"/>
          <w:szCs w:val="18"/>
        </w:rPr>
        <w:t xml:space="preserve"> quotidien e</w:t>
      </w:r>
      <w:r w:rsidR="00B26666">
        <w:rPr>
          <w:rFonts w:ascii="Verdana" w:eastAsia="Calibri" w:hAnsi="Verdana" w:cs="Tahoma"/>
          <w:sz w:val="18"/>
          <w:szCs w:val="18"/>
        </w:rPr>
        <w:t>t ce qui est important pour elle</w:t>
      </w:r>
      <w:r w:rsidRPr="000D10C0">
        <w:rPr>
          <w:rFonts w:ascii="Verdana" w:eastAsia="Calibri" w:hAnsi="Verdana" w:cs="Tahoma"/>
          <w:sz w:val="18"/>
          <w:szCs w:val="18"/>
        </w:rPr>
        <w:t>.</w:t>
      </w:r>
    </w:p>
    <w:bookmarkEnd w:id="1"/>
    <w:p w:rsidR="00331EE7" w:rsidRPr="000D10C0" w:rsidRDefault="00331EE7" w:rsidP="00331EE7">
      <w:pPr>
        <w:spacing w:after="200" w:line="276" w:lineRule="auto"/>
        <w:ind w:left="-284"/>
        <w:jc w:val="both"/>
        <w:rPr>
          <w:rFonts w:ascii="Verdana" w:eastAsia="Calibri" w:hAnsi="Verdana" w:cs="Tahoma"/>
          <w:sz w:val="18"/>
          <w:szCs w:val="18"/>
        </w:rPr>
        <w:sectPr w:rsidR="00331EE7" w:rsidRPr="000D10C0" w:rsidSect="007069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69F" w:rsidRPr="00290D39" w:rsidRDefault="00AC069F" w:rsidP="00AC069F">
      <w:pPr>
        <w:jc w:val="both"/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</w:pP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lastRenderedPageBreak/>
        <w:sym w:font="Wingdings" w:char="F08F"/>
      </w:r>
      <w:r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 </w:t>
      </w:r>
      <w:r w:rsidR="00706911"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Qui fait quoi </w:t>
      </w:r>
      <w:r w:rsidR="004625DB"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>en curatelle simple</w:t>
      </w:r>
      <w:r w:rsidR="00706911" w:rsidRPr="00290D39">
        <w:rPr>
          <w:rFonts w:ascii="Verdana" w:hAnsi="Verdana" w:cs="Arial"/>
          <w:b/>
          <w:noProof/>
          <w:color w:val="333399"/>
          <w:sz w:val="18"/>
          <w:szCs w:val="18"/>
          <w:u w:val="single"/>
        </w:rPr>
        <w:t xml:space="preserve">? </w:t>
      </w:r>
    </w:p>
    <w:p w:rsidR="008C5E4C" w:rsidRPr="00290D39" w:rsidRDefault="00AF6E09" w:rsidP="00AC069F">
      <w:pPr>
        <w:jc w:val="both"/>
        <w:rPr>
          <w:rFonts w:ascii="Verdana" w:hAnsi="Verdana" w:cs="Arial"/>
          <w:noProof/>
          <w:color w:val="333399"/>
          <w:sz w:val="18"/>
          <w:szCs w:val="18"/>
        </w:rPr>
      </w:pPr>
      <w:r w:rsidRPr="00290D39">
        <w:rPr>
          <w:rFonts w:ascii="Verdana" w:hAnsi="Verdana" w:cs="Arial"/>
          <w:noProof/>
          <w:color w:val="333399"/>
          <w:sz w:val="18"/>
          <w:szCs w:val="18"/>
        </w:rPr>
        <w:t xml:space="preserve">Cette liste n’est pas exhaustive. Elle peut sur certains points faire l’objet de discussion </w:t>
      </w:r>
      <w:r w:rsidR="00081AC2" w:rsidRPr="00290D39">
        <w:rPr>
          <w:rFonts w:ascii="Verdana" w:hAnsi="Verdana" w:cs="Arial"/>
          <w:noProof/>
          <w:color w:val="333399"/>
          <w:sz w:val="18"/>
          <w:szCs w:val="18"/>
        </w:rPr>
        <w:t>(annexe 2 du décret 2008-1484 du 22 décembre 2008)</w:t>
      </w:r>
      <w:r w:rsidR="0006149E" w:rsidRPr="00290D39">
        <w:rPr>
          <w:rFonts w:ascii="Verdana" w:hAnsi="Verdana" w:cs="Arial"/>
          <w:noProof/>
          <w:color w:val="333399"/>
          <w:sz w:val="18"/>
          <w:szCs w:val="18"/>
        </w:rPr>
        <w:t xml:space="preserve"> et dans tous les cas, </w:t>
      </w:r>
      <w:r w:rsidR="00B8165B">
        <w:rPr>
          <w:rFonts w:ascii="Verdana" w:hAnsi="Verdana" w:cs="Arial"/>
          <w:noProof/>
          <w:color w:val="333399"/>
          <w:sz w:val="18"/>
          <w:szCs w:val="18"/>
        </w:rPr>
        <w:t xml:space="preserve">il est nécessaire de </w:t>
      </w:r>
      <w:r w:rsidR="0006149E" w:rsidRPr="00290D39">
        <w:rPr>
          <w:rFonts w:ascii="Verdana" w:hAnsi="Verdana" w:cs="Arial"/>
          <w:noProof/>
          <w:color w:val="333399"/>
          <w:sz w:val="18"/>
          <w:szCs w:val="18"/>
        </w:rPr>
        <w:t>se référer aux décisions prises dans le jugement.</w:t>
      </w:r>
    </w:p>
    <w:p w:rsidR="00290D39" w:rsidRDefault="00F1713C" w:rsidP="004625FA">
      <w:pPr>
        <w:spacing w:line="264" w:lineRule="auto"/>
        <w:ind w:left="360"/>
        <w:rPr>
          <w:rFonts w:ascii="Calibri" w:eastAsia="Times New Roman" w:hAnsi="Calibri" w:cs="Times New Roman"/>
          <w:b/>
          <w:bCs/>
          <w:color w:val="FF0000"/>
          <w:sz w:val="21"/>
          <w:szCs w:val="21"/>
          <w:u w:val="single"/>
          <w:lang w:eastAsia="ja-JP"/>
        </w:rPr>
      </w:pP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25824" behindDoc="1" locked="0" layoutInCell="1" allowOverlap="1" wp14:anchorId="1BA41848" wp14:editId="0144370F">
            <wp:simplePos x="0" y="0"/>
            <wp:positionH relativeFrom="column">
              <wp:posOffset>7596505</wp:posOffset>
            </wp:positionH>
            <wp:positionV relativeFrom="paragraph">
              <wp:posOffset>184785</wp:posOffset>
            </wp:positionV>
            <wp:extent cx="1866900" cy="5143500"/>
            <wp:effectExtent l="19050" t="19050" r="19050" b="190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23776" behindDoc="1" locked="0" layoutInCell="1" allowOverlap="1" wp14:anchorId="1BA41848" wp14:editId="0144370F">
            <wp:simplePos x="0" y="0"/>
            <wp:positionH relativeFrom="column">
              <wp:posOffset>5813425</wp:posOffset>
            </wp:positionH>
            <wp:positionV relativeFrom="paragraph">
              <wp:posOffset>184785</wp:posOffset>
            </wp:positionV>
            <wp:extent cx="1638300" cy="5143500"/>
            <wp:effectExtent l="19050" t="19050" r="19050" b="190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1BA41848" wp14:editId="0144370F">
            <wp:simplePos x="0" y="0"/>
            <wp:positionH relativeFrom="column">
              <wp:posOffset>3504565</wp:posOffset>
            </wp:positionH>
            <wp:positionV relativeFrom="paragraph">
              <wp:posOffset>184785</wp:posOffset>
            </wp:positionV>
            <wp:extent cx="2247900" cy="5173980"/>
            <wp:effectExtent l="19050" t="19050" r="19050" b="266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73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08" w:rsidRPr="00F80012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1BA41848" wp14:editId="0144370F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3257550" cy="5173980"/>
            <wp:effectExtent l="19050" t="19050" r="19050" b="266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73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0A" w:rsidRDefault="0039230A" w:rsidP="004625FA">
      <w:pPr>
        <w:spacing w:line="264" w:lineRule="auto"/>
        <w:ind w:left="360"/>
        <w:rPr>
          <w:rFonts w:ascii="Calibri" w:eastAsia="Times New Roman" w:hAnsi="Calibri" w:cs="Times New Roman"/>
          <w:b/>
          <w:bCs/>
          <w:color w:val="FF0000"/>
          <w:sz w:val="21"/>
          <w:szCs w:val="21"/>
          <w:u w:val="single"/>
          <w:lang w:eastAsia="ja-JP"/>
        </w:rPr>
        <w:sectPr w:rsidR="0039230A" w:rsidSect="00290D39"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:rsidR="00B62C55" w:rsidRPr="00290D39" w:rsidRDefault="00937A7E" w:rsidP="00290D39">
      <w:pPr>
        <w:spacing w:line="264" w:lineRule="auto"/>
        <w:ind w:left="360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lastRenderedPageBreak/>
        <w:t>Ce que la personne protégée peut faire</w:t>
      </w:r>
      <w:r w:rsidR="00B62C55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seul</w:t>
      </w:r>
      <w:r w:rsidR="004625FA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 :</w:t>
      </w:r>
    </w:p>
    <w:p w:rsidR="00290D39" w:rsidRPr="00290D39" w:rsidRDefault="00290D39" w:rsidP="00290D39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Actes administratifs courants (CNI, souscrire assurance, mutuelle, déclaration impôts, </w:t>
      </w:r>
      <w:proofErr w:type="spellStart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dde</w:t>
      </w:r>
      <w:proofErr w:type="spellEnd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allocation, rencontrer une </w:t>
      </w:r>
      <w:r w:rsidRPr="00EA06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assistante</w:t>
      </w: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sociale …)</w:t>
      </w:r>
    </w:p>
    <w:p w:rsidR="00290D39" w:rsidRPr="00290D39" w:rsidRDefault="00290D39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</w:t>
      </w:r>
      <w:r w:rsidR="00937A7E">
        <w:rPr>
          <w:rFonts w:ascii="Verdana" w:eastAsia="Times New Roman" w:hAnsi="Verdana" w:cs="Times New Roman"/>
          <w:bCs/>
          <w:sz w:val="18"/>
          <w:szCs w:val="18"/>
          <w:lang w:eastAsia="ja-JP"/>
        </w:rPr>
        <w:t>ctes strictement personnels (458</w:t>
      </w:r>
      <w:proofErr w:type="gramStart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):</w:t>
      </w:r>
      <w:proofErr w:type="gramEnd"/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déclaration de naissance, actes de l’autorité parentale</w:t>
      </w:r>
    </w:p>
    <w:p w:rsidR="00290D39" w:rsidRPr="00290D39" w:rsidRDefault="00290D39" w:rsidP="00290D39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Décisions en matière médicale</w:t>
      </w:r>
    </w:p>
    <w:p w:rsidR="00B62C55" w:rsidRPr="00290D39" w:rsidRDefault="002B3BE6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>Gérer son</w:t>
      </w:r>
      <w:r w:rsidR="00B62C55"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compte courant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Un testament,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lastRenderedPageBreak/>
        <w:t>Voyager, liberté d’aller et venir</w:t>
      </w:r>
    </w:p>
    <w:p w:rsidR="00B62C55" w:rsidRPr="00290D39" w:rsidRDefault="002B3BE6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ja-JP"/>
        </w:rPr>
        <w:t>Choisir son</w:t>
      </w:r>
      <w:r w:rsidR="00B62C55"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lieu de vie et conclure un bail </w:t>
      </w:r>
      <w:r w:rsidR="0006149E"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(moins</w:t>
      </w:r>
      <w:r w:rsidR="00B62C55"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à 9 ans</w:t>
      </w:r>
      <w:r w:rsidR="0006149E"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)</w:t>
      </w:r>
    </w:p>
    <w:p w:rsidR="00290D39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Voter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Entretenir des relations personnelles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Changer d’emploi, conclure un contrat de travail ou le rompre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Accepter une succession à concurrence de l’actif net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Demander la main levée de la mesure ou son renouvellement</w:t>
      </w:r>
    </w:p>
    <w:p w:rsidR="007429FB" w:rsidRPr="00290D39" w:rsidRDefault="007429FB" w:rsidP="007429FB">
      <w:pPr>
        <w:pStyle w:val="Paragraphedeliste"/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4B3C64" w:rsidRPr="00290D39" w:rsidRDefault="004B3C64" w:rsidP="00B62C55">
      <w:pPr>
        <w:pStyle w:val="Paragraphedeliste"/>
        <w:spacing w:after="120" w:line="264" w:lineRule="auto"/>
        <w:rPr>
          <w:rFonts w:ascii="Verdana" w:eastAsia="STXinwei" w:hAnsi="Verdana" w:cs="Arial"/>
          <w:sz w:val="18"/>
          <w:szCs w:val="18"/>
          <w:lang w:eastAsia="ja-JP"/>
        </w:rPr>
      </w:pPr>
    </w:p>
    <w:p w:rsidR="00B62C55" w:rsidRPr="00290D39" w:rsidRDefault="00B62C55" w:rsidP="00B62C55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290D39" w:rsidRPr="00290D39" w:rsidRDefault="00290D39" w:rsidP="00B62C55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Default="00290D39" w:rsidP="00B62C55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937A7E" w:rsidRDefault="00290D39" w:rsidP="00937A7E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B8165B" w:rsidRPr="00311B10" w:rsidRDefault="00B8165B" w:rsidP="00311B10">
      <w:pPr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B62C55" w:rsidRPr="00290D39" w:rsidRDefault="00937A7E" w:rsidP="00B62C55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Ce que la </w:t>
      </w:r>
      <w:r w:rsidR="002B3BE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personne protégée</w:t>
      </w: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</w:t>
      </w:r>
      <w:r w:rsidR="00760A08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doit </w:t>
      </w:r>
      <w:r w:rsidR="00760A08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faire</w:t>
      </w:r>
      <w:r w:rsidR="00B62C55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avec l’assistance du curateur</w:t>
      </w:r>
      <w:r w:rsidR="00290D39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 xml:space="preserve"> </w:t>
      </w:r>
      <w:r w:rsidR="00B62C55"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:</w:t>
      </w:r>
    </w:p>
    <w:p w:rsidR="00290D39" w:rsidRPr="00290D39" w:rsidRDefault="00290D39" w:rsidP="00B62C55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Placer de l’argent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Prélever sur vos épargnes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Faire une donation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Se marier 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Agir en justice</w:t>
      </w:r>
    </w:p>
    <w:p w:rsidR="00B62C55" w:rsidRPr="00290D39" w:rsidRDefault="00B62C55" w:rsidP="00B62C55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Conclure un bail </w:t>
      </w:r>
      <w:r w:rsidR="00C7269E">
        <w:rPr>
          <w:rFonts w:ascii="Verdana" w:eastAsia="Times New Roman" w:hAnsi="Verdana" w:cs="Times New Roman"/>
          <w:bCs/>
          <w:sz w:val="18"/>
          <w:szCs w:val="18"/>
          <w:lang w:eastAsia="ja-JP"/>
        </w:rPr>
        <w:t>de plus de</w:t>
      </w: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 9 ans</w:t>
      </w:r>
    </w:p>
    <w:p w:rsidR="00B62C55" w:rsidRPr="00290D39" w:rsidRDefault="00B62C55" w:rsidP="00B62C55">
      <w:p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C7269E" w:rsidRDefault="00C7269E" w:rsidP="00290D39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290D39">
      <w:pPr>
        <w:pStyle w:val="Paragraphedeliste"/>
        <w:spacing w:after="120" w:line="264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Ce que le curateur peut faire seul :</w:t>
      </w:r>
    </w:p>
    <w:p w:rsidR="00290D39" w:rsidRPr="00290D39" w:rsidRDefault="00290D39" w:rsidP="00290D39">
      <w:pPr>
        <w:pStyle w:val="Paragraphedeliste"/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</w:p>
    <w:p w:rsidR="00290D39" w:rsidRPr="00290D39" w:rsidRDefault="00290D39" w:rsidP="00290D39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 xml:space="preserve">Actes conservatoires </w:t>
      </w:r>
    </w:p>
    <w:p w:rsidR="00290D39" w:rsidRPr="00290D39" w:rsidRDefault="00290D39" w:rsidP="00290D39">
      <w:pPr>
        <w:pStyle w:val="Paragraphedeliste"/>
        <w:numPr>
          <w:ilvl w:val="0"/>
          <w:numId w:val="10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bCs/>
          <w:sz w:val="18"/>
          <w:szCs w:val="18"/>
          <w:lang w:eastAsia="ja-JP"/>
        </w:rPr>
        <w:t>Prendre les mesures urgentes en cas de danger</w:t>
      </w: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4B3C64" w:rsidRPr="00290D39" w:rsidRDefault="004B3C64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P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290D39" w:rsidRDefault="00290D39" w:rsidP="004B3C64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</w:p>
    <w:p w:rsidR="00B62C55" w:rsidRPr="00290D39" w:rsidRDefault="00290D39" w:rsidP="00C92700">
      <w:pPr>
        <w:spacing w:line="264" w:lineRule="auto"/>
        <w:ind w:left="708"/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</w:pPr>
      <w:r w:rsidRPr="00290D39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ja-JP"/>
        </w:rPr>
        <w:t>Ce qui nécessite l’autorisation du juge :</w:t>
      </w:r>
    </w:p>
    <w:p w:rsidR="00B62C55" w:rsidRPr="00290D39" w:rsidRDefault="00B62C55" w:rsidP="00B62C55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Vente du logement du majeur (résidence principale ou secondaire)</w:t>
      </w:r>
    </w:p>
    <w:p w:rsidR="00B62C55" w:rsidRPr="00290D39" w:rsidRDefault="00B62C55" w:rsidP="00B62C55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Résiliation du bail assurant le logement du majeur</w:t>
      </w:r>
    </w:p>
    <w:p w:rsidR="00B62C55" w:rsidRPr="00290D39" w:rsidRDefault="00B62C55" w:rsidP="00B62C55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Donner à bail le logement du majeur</w:t>
      </w:r>
    </w:p>
    <w:p w:rsidR="004B3C64" w:rsidRPr="00290D39" w:rsidRDefault="00B62C55" w:rsidP="00B62C55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</w:pPr>
      <w:r w:rsidRPr="00290D39">
        <w:rPr>
          <w:rFonts w:ascii="Verdana" w:eastAsia="Times New Roman" w:hAnsi="Verdana" w:cs="Times New Roman"/>
          <w:sz w:val="18"/>
          <w:szCs w:val="18"/>
          <w:lang w:eastAsia="ja-JP"/>
        </w:rPr>
        <w:t>Ouverture ou clôture de comptes bancaires</w:t>
      </w:r>
    </w:p>
    <w:p w:rsidR="00290D39" w:rsidRPr="005823FA" w:rsidRDefault="00290D39" w:rsidP="00290D39">
      <w:pPr>
        <w:pStyle w:val="Paragraphedeliste"/>
        <w:numPr>
          <w:ilvl w:val="0"/>
          <w:numId w:val="11"/>
        </w:numPr>
        <w:spacing w:after="120" w:line="264" w:lineRule="auto"/>
        <w:rPr>
          <w:rFonts w:ascii="Verdana" w:eastAsia="Times New Roman" w:hAnsi="Verdana" w:cs="Times New Roman"/>
          <w:bCs/>
          <w:sz w:val="18"/>
          <w:szCs w:val="18"/>
          <w:lang w:eastAsia="ja-JP"/>
        </w:rPr>
        <w:sectPr w:rsidR="00290D39" w:rsidRPr="005823FA" w:rsidSect="00290D39">
          <w:type w:val="continuous"/>
          <w:pgSz w:w="16838" w:h="11906" w:orient="landscape"/>
          <w:pgMar w:top="1417" w:right="1417" w:bottom="1417" w:left="1417" w:header="708" w:footer="708" w:gutter="0"/>
          <w:cols w:num="5" w:space="709"/>
          <w:docGrid w:linePitch="360"/>
        </w:sectPr>
      </w:pPr>
      <w:bookmarkStart w:id="2" w:name="_GoBack"/>
      <w:bookmarkEnd w:id="2"/>
    </w:p>
    <w:p w:rsidR="002F3405" w:rsidRDefault="002F3405" w:rsidP="002418B9">
      <w:pPr>
        <w:jc w:val="both"/>
        <w:rPr>
          <w:rFonts w:ascii="Verdana" w:hAnsi="Verdana"/>
          <w:sz w:val="20"/>
          <w:szCs w:val="20"/>
        </w:rPr>
      </w:pPr>
    </w:p>
    <w:sectPr w:rsidR="002F3405" w:rsidSect="005F4BDD">
      <w:headerReference w:type="default" r:id="rId1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7A" w:rsidRDefault="008B237A" w:rsidP="004B3C64">
      <w:pPr>
        <w:spacing w:after="0" w:line="240" w:lineRule="auto"/>
      </w:pPr>
      <w:r>
        <w:separator/>
      </w:r>
    </w:p>
  </w:endnote>
  <w:endnote w:type="continuationSeparator" w:id="0">
    <w:p w:rsidR="008B237A" w:rsidRDefault="008B237A" w:rsidP="004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fferaw">
    <w:altName w:val="Times New Roman"/>
    <w:charset w:val="00"/>
    <w:family w:val="script"/>
    <w:pitch w:val="variable"/>
    <w:sig w:usb0="80000027" w:usb1="0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7A" w:rsidRDefault="008B237A" w:rsidP="004B3C64">
      <w:pPr>
        <w:spacing w:after="0" w:line="240" w:lineRule="auto"/>
      </w:pPr>
      <w:r>
        <w:separator/>
      </w:r>
    </w:p>
  </w:footnote>
  <w:footnote w:type="continuationSeparator" w:id="0">
    <w:p w:rsidR="008B237A" w:rsidRDefault="008B237A" w:rsidP="004B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CA" w:rsidRDefault="007628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86" w:rsidRDefault="00234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EBF"/>
    <w:multiLevelType w:val="hybridMultilevel"/>
    <w:tmpl w:val="A3E2C7C8"/>
    <w:lvl w:ilvl="0" w:tplc="3E1C10F4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759CF"/>
    <w:multiLevelType w:val="hybridMultilevel"/>
    <w:tmpl w:val="0D18C6B2"/>
    <w:lvl w:ilvl="0" w:tplc="05E0DA7A">
      <w:start w:val="1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E9A4E0D"/>
    <w:multiLevelType w:val="hybridMultilevel"/>
    <w:tmpl w:val="1BF6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445"/>
    <w:multiLevelType w:val="hybridMultilevel"/>
    <w:tmpl w:val="9294A7F0"/>
    <w:lvl w:ilvl="0" w:tplc="D8A01FB0">
      <w:start w:val="1"/>
      <w:numFmt w:val="bullet"/>
      <w:lvlText w:val="‡"/>
      <w:lvlJc w:val="left"/>
      <w:pPr>
        <w:tabs>
          <w:tab w:val="num" w:pos="2381"/>
        </w:tabs>
        <w:ind w:left="2381" w:hanging="510"/>
      </w:pPr>
      <w:rPr>
        <w:rFonts w:ascii="Mufferaw" w:hAnsi="Mufferaw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6BF"/>
    <w:multiLevelType w:val="hybridMultilevel"/>
    <w:tmpl w:val="64BCD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6CE1"/>
    <w:multiLevelType w:val="hybridMultilevel"/>
    <w:tmpl w:val="A3AEFDF0"/>
    <w:lvl w:ilvl="0" w:tplc="F91C4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521"/>
    <w:multiLevelType w:val="hybridMultilevel"/>
    <w:tmpl w:val="550E7D38"/>
    <w:lvl w:ilvl="0" w:tplc="E2BA8F70">
      <w:start w:val="1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E829F9"/>
    <w:multiLevelType w:val="hybridMultilevel"/>
    <w:tmpl w:val="6DF025AE"/>
    <w:lvl w:ilvl="0" w:tplc="67D2743A">
      <w:start w:val="1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CB5465"/>
    <w:multiLevelType w:val="hybridMultilevel"/>
    <w:tmpl w:val="204672B0"/>
    <w:lvl w:ilvl="0" w:tplc="46768CBA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3AEB"/>
    <w:multiLevelType w:val="hybridMultilevel"/>
    <w:tmpl w:val="9126F484"/>
    <w:lvl w:ilvl="0" w:tplc="20A249CC">
      <w:numFmt w:val="bullet"/>
      <w:lvlText w:val=""/>
      <w:lvlJc w:val="left"/>
      <w:pPr>
        <w:tabs>
          <w:tab w:val="num" w:pos="1416"/>
        </w:tabs>
        <w:ind w:left="1416" w:hanging="708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1184F"/>
    <w:multiLevelType w:val="hybridMultilevel"/>
    <w:tmpl w:val="C1627C50"/>
    <w:lvl w:ilvl="0" w:tplc="F850A5A2">
      <w:start w:val="3919"/>
      <w:numFmt w:val="decimal"/>
      <w:lvlText w:val="%1"/>
      <w:lvlJc w:val="left"/>
      <w:pPr>
        <w:tabs>
          <w:tab w:val="num" w:pos="1416"/>
        </w:tabs>
        <w:ind w:left="1416" w:hanging="105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E1"/>
    <w:rsid w:val="00004A7D"/>
    <w:rsid w:val="0003068A"/>
    <w:rsid w:val="00035990"/>
    <w:rsid w:val="00044D83"/>
    <w:rsid w:val="00045FEC"/>
    <w:rsid w:val="0006149E"/>
    <w:rsid w:val="00073AB3"/>
    <w:rsid w:val="00081AC2"/>
    <w:rsid w:val="000A16F7"/>
    <w:rsid w:val="000B5109"/>
    <w:rsid w:val="000B7753"/>
    <w:rsid w:val="000D10C0"/>
    <w:rsid w:val="00102EB5"/>
    <w:rsid w:val="00132A96"/>
    <w:rsid w:val="001747DD"/>
    <w:rsid w:val="00186715"/>
    <w:rsid w:val="001D1670"/>
    <w:rsid w:val="001D6402"/>
    <w:rsid w:val="00234886"/>
    <w:rsid w:val="002354A7"/>
    <w:rsid w:val="002418B9"/>
    <w:rsid w:val="00256BDF"/>
    <w:rsid w:val="00271035"/>
    <w:rsid w:val="00272343"/>
    <w:rsid w:val="00274F49"/>
    <w:rsid w:val="00290D39"/>
    <w:rsid w:val="002A410B"/>
    <w:rsid w:val="002B3BE6"/>
    <w:rsid w:val="002F3405"/>
    <w:rsid w:val="00311B10"/>
    <w:rsid w:val="00331EE7"/>
    <w:rsid w:val="0039230A"/>
    <w:rsid w:val="004032E0"/>
    <w:rsid w:val="00411D1C"/>
    <w:rsid w:val="00412074"/>
    <w:rsid w:val="00423784"/>
    <w:rsid w:val="0042436C"/>
    <w:rsid w:val="004625DB"/>
    <w:rsid w:val="004625FA"/>
    <w:rsid w:val="00480F58"/>
    <w:rsid w:val="00494B30"/>
    <w:rsid w:val="004A4D3B"/>
    <w:rsid w:val="004B3C64"/>
    <w:rsid w:val="004D1C5B"/>
    <w:rsid w:val="004E5120"/>
    <w:rsid w:val="005024A4"/>
    <w:rsid w:val="00505386"/>
    <w:rsid w:val="0051137D"/>
    <w:rsid w:val="005823FA"/>
    <w:rsid w:val="00586B9A"/>
    <w:rsid w:val="005F4BDD"/>
    <w:rsid w:val="00607BDA"/>
    <w:rsid w:val="006144D3"/>
    <w:rsid w:val="00642224"/>
    <w:rsid w:val="00647495"/>
    <w:rsid w:val="00664AE1"/>
    <w:rsid w:val="006A1EB9"/>
    <w:rsid w:val="006A4E15"/>
    <w:rsid w:val="006B4B10"/>
    <w:rsid w:val="006C1052"/>
    <w:rsid w:val="006D7916"/>
    <w:rsid w:val="006F3129"/>
    <w:rsid w:val="00705D59"/>
    <w:rsid w:val="00706911"/>
    <w:rsid w:val="00712092"/>
    <w:rsid w:val="007269B8"/>
    <w:rsid w:val="007429FB"/>
    <w:rsid w:val="00742A93"/>
    <w:rsid w:val="007478E8"/>
    <w:rsid w:val="00760A08"/>
    <w:rsid w:val="007628CA"/>
    <w:rsid w:val="008603B7"/>
    <w:rsid w:val="008704EF"/>
    <w:rsid w:val="008A7DED"/>
    <w:rsid w:val="008B237A"/>
    <w:rsid w:val="008B3A6A"/>
    <w:rsid w:val="008C5E4C"/>
    <w:rsid w:val="008F5CAB"/>
    <w:rsid w:val="00932E6F"/>
    <w:rsid w:val="00937A7E"/>
    <w:rsid w:val="00944037"/>
    <w:rsid w:val="009728B2"/>
    <w:rsid w:val="0098677C"/>
    <w:rsid w:val="009C659A"/>
    <w:rsid w:val="009E2CE3"/>
    <w:rsid w:val="00A00468"/>
    <w:rsid w:val="00A31D37"/>
    <w:rsid w:val="00A63CA2"/>
    <w:rsid w:val="00A80022"/>
    <w:rsid w:val="00A8023A"/>
    <w:rsid w:val="00A83737"/>
    <w:rsid w:val="00AA2C48"/>
    <w:rsid w:val="00AB01FA"/>
    <w:rsid w:val="00AC069F"/>
    <w:rsid w:val="00AC62AE"/>
    <w:rsid w:val="00AD7098"/>
    <w:rsid w:val="00AE12CB"/>
    <w:rsid w:val="00AF6E09"/>
    <w:rsid w:val="00B147E4"/>
    <w:rsid w:val="00B2517F"/>
    <w:rsid w:val="00B26666"/>
    <w:rsid w:val="00B333DE"/>
    <w:rsid w:val="00B335F6"/>
    <w:rsid w:val="00B47327"/>
    <w:rsid w:val="00B512A2"/>
    <w:rsid w:val="00B62C55"/>
    <w:rsid w:val="00B6359C"/>
    <w:rsid w:val="00B8165B"/>
    <w:rsid w:val="00B93998"/>
    <w:rsid w:val="00BC5A8A"/>
    <w:rsid w:val="00BC7F75"/>
    <w:rsid w:val="00BE36D7"/>
    <w:rsid w:val="00C0128C"/>
    <w:rsid w:val="00C20F69"/>
    <w:rsid w:val="00C42AB4"/>
    <w:rsid w:val="00C65AAB"/>
    <w:rsid w:val="00C7269E"/>
    <w:rsid w:val="00C92700"/>
    <w:rsid w:val="00C975A0"/>
    <w:rsid w:val="00CB1F48"/>
    <w:rsid w:val="00D1755B"/>
    <w:rsid w:val="00D36D52"/>
    <w:rsid w:val="00D54877"/>
    <w:rsid w:val="00DA2932"/>
    <w:rsid w:val="00E35884"/>
    <w:rsid w:val="00E42EEB"/>
    <w:rsid w:val="00E73603"/>
    <w:rsid w:val="00EA0639"/>
    <w:rsid w:val="00EB2DC5"/>
    <w:rsid w:val="00EF0035"/>
    <w:rsid w:val="00F14CDE"/>
    <w:rsid w:val="00F1713C"/>
    <w:rsid w:val="00F30BA9"/>
    <w:rsid w:val="00F57EBD"/>
    <w:rsid w:val="00F80012"/>
    <w:rsid w:val="00F808FD"/>
    <w:rsid w:val="00FA310D"/>
    <w:rsid w:val="00FB1449"/>
    <w:rsid w:val="00FD17F7"/>
    <w:rsid w:val="00FE79E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533AA"/>
  <w15:docId w15:val="{8919F130-B055-48AE-882B-15775C4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D"/>
  </w:style>
  <w:style w:type="paragraph" w:styleId="Titre1">
    <w:name w:val="heading 1"/>
    <w:basedOn w:val="Normal"/>
    <w:next w:val="Normal"/>
    <w:link w:val="Titre1Car"/>
    <w:uiPriority w:val="9"/>
    <w:qFormat/>
    <w:rsid w:val="00664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4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3784"/>
    <w:rPr>
      <w:b/>
      <w:bCs/>
    </w:rPr>
  </w:style>
  <w:style w:type="character" w:customStyle="1" w:styleId="apple-converted-space">
    <w:name w:val="apple-converted-space"/>
    <w:basedOn w:val="Policepardfaut"/>
    <w:rsid w:val="00423784"/>
  </w:style>
  <w:style w:type="character" w:styleId="Lienhypertexte">
    <w:name w:val="Hyperlink"/>
    <w:basedOn w:val="Policepardfaut"/>
    <w:uiPriority w:val="99"/>
    <w:semiHidden/>
    <w:unhideWhenUsed/>
    <w:rsid w:val="00423784"/>
    <w:rPr>
      <w:color w:val="0000FF"/>
      <w:u w:val="single"/>
    </w:rPr>
  </w:style>
  <w:style w:type="character" w:styleId="Emphaseintense">
    <w:name w:val="Intense Emphasis"/>
    <w:basedOn w:val="Policepardfaut"/>
    <w:uiPriority w:val="21"/>
    <w:qFormat/>
    <w:rsid w:val="00AC62AE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C62AE"/>
    <w:pPr>
      <w:ind w:left="720"/>
      <w:contextualSpacing/>
    </w:pPr>
  </w:style>
  <w:style w:type="table" w:customStyle="1" w:styleId="TableauGrille6Couleur-Accentuation21">
    <w:name w:val="Tableau Grille 6 Couleur - Accentuation 21"/>
    <w:basedOn w:val="TableauNormal"/>
    <w:uiPriority w:val="51"/>
    <w:rsid w:val="004625DB"/>
    <w:pPr>
      <w:spacing w:after="0" w:line="240" w:lineRule="auto"/>
    </w:pPr>
    <w:rPr>
      <w:rFonts w:eastAsia="Times New Roman"/>
      <w:color w:val="C45911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A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C64"/>
  </w:style>
  <w:style w:type="paragraph" w:styleId="Pieddepage">
    <w:name w:val="footer"/>
    <w:basedOn w:val="Normal"/>
    <w:link w:val="PieddepageCar"/>
    <w:uiPriority w:val="99"/>
    <w:unhideWhenUsed/>
    <w:rsid w:val="004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FB16-A261-4C21-A17E-34A62CC9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Schwob</dc:creator>
  <cp:lastModifiedBy>Fabienne RODEVILLE</cp:lastModifiedBy>
  <cp:revision>3</cp:revision>
  <dcterms:created xsi:type="dcterms:W3CDTF">2017-10-20T13:26:00Z</dcterms:created>
  <dcterms:modified xsi:type="dcterms:W3CDTF">2017-10-20T13:30:00Z</dcterms:modified>
</cp:coreProperties>
</file>